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25FC3E">
      <w:pPr>
        <w:spacing w:line="750" w:lineRule="atLeast"/>
        <w:jc w:val="center"/>
        <w:outlineLvl w:val="0"/>
        <w:rPr>
          <w:rFonts w:hint="eastAsia" w:ascii="宋体" w:hAnsi="宋体" w:eastAsia="宋体" w:cs="宋体"/>
          <w:b/>
          <w:bCs/>
          <w:kern w:val="36"/>
          <w:sz w:val="32"/>
          <w:szCs w:val="28"/>
        </w:rPr>
      </w:pPr>
      <w:r>
        <w:rPr>
          <w:rFonts w:hint="eastAsia" w:ascii="宋体" w:hAnsi="宋体" w:eastAsia="宋体" w:cs="宋体"/>
          <w:b/>
          <w:bCs/>
          <w:kern w:val="36"/>
          <w:sz w:val="32"/>
          <w:szCs w:val="28"/>
        </w:rPr>
        <w:t>六安市中医院算力提升及存储扩容服务项目</w:t>
      </w:r>
      <w:bookmarkStart w:id="1" w:name="_GoBack"/>
      <w:bookmarkEnd w:id="1"/>
    </w:p>
    <w:p w14:paraId="1AA22316">
      <w:pPr>
        <w:spacing w:line="750" w:lineRule="atLeast"/>
        <w:jc w:val="center"/>
        <w:outlineLvl w:val="0"/>
        <w:rPr>
          <w:rFonts w:ascii="宋体" w:hAnsi="宋体" w:eastAsia="宋体" w:cs="宋体"/>
          <w:b/>
          <w:bCs/>
          <w:kern w:val="36"/>
          <w:sz w:val="32"/>
          <w:szCs w:val="28"/>
        </w:rPr>
      </w:pPr>
      <w:r>
        <w:rPr>
          <w:rFonts w:hint="eastAsia" w:ascii="宋体" w:hAnsi="宋体" w:eastAsia="宋体" w:cs="宋体"/>
          <w:b/>
          <w:bCs/>
          <w:kern w:val="36"/>
          <w:sz w:val="32"/>
          <w:szCs w:val="28"/>
        </w:rPr>
        <w:t>建设方案及</w:t>
      </w:r>
      <w:r>
        <w:rPr>
          <w:rFonts w:hint="eastAsia" w:ascii="宋体" w:hAnsi="宋体" w:eastAsia="宋体" w:cs="宋体"/>
          <w:b/>
          <w:bCs/>
          <w:kern w:val="36"/>
          <w:sz w:val="32"/>
          <w:szCs w:val="28"/>
          <w:lang w:val="en-US" w:eastAsia="zh-CN"/>
        </w:rPr>
        <w:t>初步参数收集</w:t>
      </w:r>
      <w:r>
        <w:rPr>
          <w:rFonts w:ascii="宋体" w:hAnsi="宋体" w:eastAsia="宋体" w:cs="宋体"/>
          <w:b/>
          <w:bCs/>
          <w:kern w:val="36"/>
          <w:sz w:val="32"/>
          <w:szCs w:val="28"/>
        </w:rPr>
        <w:t>公告</w:t>
      </w:r>
    </w:p>
    <w:p w14:paraId="6EB388A2">
      <w:pPr>
        <w:spacing w:line="540" w:lineRule="atLeast"/>
        <w:rPr>
          <w:rFonts w:ascii="宋体" w:hAnsi="宋体" w:eastAsia="宋体" w:cs="宋体"/>
          <w:color w:val="797154"/>
          <w:sz w:val="18"/>
          <w:szCs w:val="18"/>
        </w:rPr>
      </w:pPr>
    </w:p>
    <w:p w14:paraId="40F31F86">
      <w:pPr>
        <w:spacing w:line="540" w:lineRule="atLeast"/>
        <w:jc w:val="both"/>
        <w:rPr>
          <w:rFonts w:hint="eastAsia" w:ascii="宋体" w:hAnsi="宋体" w:eastAsia="宋体" w:cs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14:textFill>
            <w14:solidFill>
              <w14:schemeClr w14:val="tx1"/>
            </w14:solidFill>
          </w14:textFill>
        </w:rPr>
        <w:t>各潜在供应商：</w:t>
      </w:r>
    </w:p>
    <w:p w14:paraId="43C9D373">
      <w:pPr>
        <w:spacing w:line="540" w:lineRule="atLeast"/>
        <w:ind w:firstLine="480" w:firstLineChars="200"/>
        <w:jc w:val="both"/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为推进智慧中医院及电子病历五级建设工作，随着新增业务系统逐步上线，临床业务数据持续增长，我院对计算、存储及网络资源的需求大幅提升，现有硬件资源已趋于饱和，难以支撑现有系统稳定运行，无法满足业务扩容需求，存在明显的性能瓶颈与安全隐患。为保障建设目标顺利推进落实，我院</w:t>
      </w:r>
      <w:r>
        <w:rPr>
          <w:rFonts w:hint="eastAsia" w:ascii="宋体" w:hAnsi="宋体" w:eastAsia="宋体" w:cs="宋体"/>
          <w:color w:val="000000" w:themeColor="text1"/>
          <w14:textFill>
            <w14:solidFill>
              <w14:schemeClr w14:val="tx1"/>
            </w14:solidFill>
          </w14:textFill>
        </w:rPr>
        <w:t>拟采购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六安市中医院算力提升及存储扩容服务</w:t>
      </w:r>
      <w:r>
        <w:rPr>
          <w:rFonts w:hint="eastAsia" w:ascii="宋体" w:hAnsi="宋体" w:eastAsia="宋体" w:cs="宋体"/>
          <w:color w:val="000000" w:themeColor="text1"/>
          <w14:textFill>
            <w14:solidFill>
              <w14:schemeClr w14:val="tx1"/>
            </w14:solidFill>
          </w14:textFill>
        </w:rPr>
        <w:t>。</w:t>
      </w:r>
    </w:p>
    <w:p w14:paraId="66CF97F0">
      <w:pPr>
        <w:spacing w:line="540" w:lineRule="atLeast"/>
        <w:ind w:firstLine="480" w:firstLineChars="200"/>
        <w:jc w:val="both"/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现状及需求：</w:t>
      </w:r>
    </w:p>
    <w:p w14:paraId="0D5FCF0B">
      <w:pPr>
        <w:numPr>
          <w:ilvl w:val="0"/>
          <w:numId w:val="0"/>
        </w:numPr>
        <w:spacing w:line="540" w:lineRule="atLeast"/>
        <w:ind w:firstLine="420" w:firstLineChars="0"/>
        <w:jc w:val="both"/>
        <w:rPr>
          <w:rFonts w:hint="eastAsia"/>
          <w:lang w:val="en-US" w:eastAsia="zh-CN"/>
        </w:rPr>
      </w:pPr>
      <w:r>
        <w:rPr>
          <w:rFonts w:hint="eastAsia" w:ascii="宋体" w:hAnsi="宋体" w:eastAsia="宋体" w:cs="宋体"/>
          <w:color w:val="000000" w:themeColor="text1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eastAsia="宋体" w:cs="宋体"/>
          <w:color w:val="000000" w:themeColor="text1"/>
          <w14:textFill>
            <w14:solidFill>
              <w14:schemeClr w14:val="tx1"/>
            </w14:solidFill>
          </w14:textFill>
        </w:rPr>
        <w:t>）服务器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与</w:t>
      </w:r>
      <w:r>
        <w:rPr>
          <w:rFonts w:hint="eastAsia" w:ascii="宋体" w:hAnsi="宋体" w:eastAsia="宋体" w:cs="宋体"/>
          <w:color w:val="000000" w:themeColor="text1"/>
          <w14:textFill>
            <w14:solidFill>
              <w14:schemeClr w14:val="tx1"/>
            </w14:solidFill>
          </w14:textFill>
        </w:rPr>
        <w:t>存储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扩容配套服务</w:t>
      </w:r>
      <w:r>
        <w:rPr>
          <w:rFonts w:hint="eastAsia" w:ascii="宋体" w:hAnsi="宋体" w:eastAsia="宋体" w:cs="宋体"/>
          <w:color w:val="000000" w:themeColor="text1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配备两台高性能服务器，单台内存≥256GB，CPU≥48C，存储≥2块960GB 10K SAS硬盘，要求适配现有EMC双活网关及存储。对现有EMC双活存储进行加盘扩容，通过raid冗余配置，单台存储新增≥6块800GB SSD，确保满足未来3～5年HIS系统数据库文件存储需求。</w:t>
      </w:r>
    </w:p>
    <w:p w14:paraId="234FBFD8">
      <w:pPr>
        <w:numPr>
          <w:ilvl w:val="0"/>
          <w:numId w:val="0"/>
        </w:numPr>
        <w:spacing w:line="540" w:lineRule="atLeast"/>
        <w:ind w:firstLine="420" w:firstLineChars="0"/>
        <w:jc w:val="both"/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（2）超融合集群配套服务：配备节点数量≥3 台，CPU采用≥6颗海光C86处理器，单颗CPU≥28核，主频≥2.6GHz，集群整体可用物理内存总量≥1.5TB，集群裸有效存储容量≥100TB（其中需配备一定数量SSD，可用固态存储空间≥12TB），满足多业务虚拟机、数据库、影像系统并发运行的需求，支撑未来3年业务系统建设和数据增长。</w:t>
      </w:r>
    </w:p>
    <w:p w14:paraId="5E5DB0BC">
      <w:pPr>
        <w:numPr>
          <w:ilvl w:val="0"/>
          <w:numId w:val="0"/>
        </w:numPr>
        <w:spacing w:line="540" w:lineRule="atLeast"/>
        <w:ind w:firstLine="420" w:firstLineChars="0"/>
        <w:jc w:val="both"/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（3）PACS存储扩容配套服务：配备1台国产集中式存储，采用 SSD+HDD 混合分层架构，通过存储内置自动分层功能实现冷热数据的智能调度，提供高IOPS及低延迟。PACS存储在线层配置 NVMe SSD 硬盘，可用容量≥20TB，承载近6～1年的高频访问的热影像数据，可支撑数百并发影像调阅，实现影像毫秒级加载，满足门诊、查房、会诊等高峰场景的性能需求；近层配置大容量企业级 SAS HDD 硬盘，可用容量≥80TB，承载 1～3年的中低频访问温冷影像数据，满足中期数据存放的容量需求。缓存配置：配置双控制器、≥256GB 一级缓存，存储双控可扩展至≥2TB 缓存，保障高低频读写场景的性能稳定性。本次新增集中式存储必须支持异构现网EMC存储，充分利旧院内现网EMC存储（150TB），现网EMC存储存放2020—2023年影像数据，实现硬件资源统一池化、统一运维管理。    </w:t>
      </w:r>
    </w:p>
    <w:p w14:paraId="4588C6B7">
      <w:pPr>
        <w:numPr>
          <w:ilvl w:val="0"/>
          <w:numId w:val="0"/>
        </w:numPr>
        <w:spacing w:line="540" w:lineRule="atLeast"/>
        <w:ind w:firstLine="420" w:firstLineChars="0"/>
        <w:jc w:val="both"/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（4）云存储配套服务：在满足三级等保的前提下，通过租赁云存储对象空间及配套软件，将2020年之前影像资源部署到云上对象存储或文件存储约60TB。</w:t>
      </w:r>
    </w:p>
    <w:p w14:paraId="032DE88B">
      <w:pPr>
        <w:numPr>
          <w:ilvl w:val="0"/>
          <w:numId w:val="0"/>
        </w:numPr>
        <w:spacing w:line="540" w:lineRule="atLeast"/>
        <w:ind w:firstLine="420" w:firstLineChars="0"/>
        <w:jc w:val="both"/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（5）服务器及存储维保服务：配备一定数量硬盘、内存条、电源等备件，为院内现有两台全闪服务器、一台存储双活网关和两台双活存储设备提供3年硬件维保服务，以应对突发硬件故障。</w:t>
      </w:r>
    </w:p>
    <w:p w14:paraId="7A07FB4F">
      <w:pPr>
        <w:numPr>
          <w:ilvl w:val="0"/>
          <w:numId w:val="0"/>
        </w:numPr>
        <w:spacing w:line="540" w:lineRule="atLeast"/>
        <w:ind w:firstLine="420" w:firstLineChars="0"/>
        <w:jc w:val="both"/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（6）数据迁移配套服务：涉及HIS服务器和PACS存储的部署，云存储的数据迁移需要配备专业数据迁移工具软件，支持断点续传、数据校验和一键回滚，确保数据迁移稳定可靠。</w:t>
      </w:r>
    </w:p>
    <w:p w14:paraId="6F8BB012">
      <w:pPr>
        <w:numPr>
          <w:ilvl w:val="0"/>
          <w:numId w:val="0"/>
        </w:numPr>
        <w:spacing w:line="540" w:lineRule="atLeast"/>
        <w:ind w:firstLine="420" w:firstLineChars="0"/>
        <w:jc w:val="both"/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注意事项：</w:t>
      </w:r>
    </w:p>
    <w:p w14:paraId="16293634">
      <w:pPr>
        <w:numPr>
          <w:ilvl w:val="0"/>
          <w:numId w:val="0"/>
        </w:numPr>
        <w:spacing w:line="540" w:lineRule="atLeast"/>
        <w:ind w:firstLine="420" w:firstLineChars="0"/>
        <w:jc w:val="both"/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请各潜在供应商于2026年10月16日上午10:00前，根据院方提供的硬件资源现状及需求填写初步参数收集表</w:t>
      </w:r>
      <w:r>
        <w:rPr>
          <w:rFonts w:hint="eastAsia" w:ascii="宋体" w:hAnsi="宋体" w:eastAsia="宋体" w:cs="宋体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（建议各潜在供应商实地调研）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，并提交电子版项目建设方案，将上述材料发送至信息管理部邮箱laszyyxxk@163.com，文件命名规则为：项目名称+供应商名称+联系电话，同时须附加盖公章的报价表。</w:t>
      </w:r>
    </w:p>
    <w:p w14:paraId="1FF0FF2C">
      <w:pPr>
        <w:numPr>
          <w:ilvl w:val="0"/>
          <w:numId w:val="0"/>
        </w:numPr>
        <w:spacing w:line="540" w:lineRule="atLeast"/>
        <w:ind w:firstLine="420" w:firstLineChars="0"/>
        <w:jc w:val="both"/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联系人及联系电话：罗老师/徐老师     0564-3318321</w:t>
      </w:r>
    </w:p>
    <w:p w14:paraId="6F51A992">
      <w:pPr>
        <w:numPr>
          <w:ilvl w:val="0"/>
          <w:numId w:val="0"/>
        </w:numPr>
        <w:spacing w:line="540" w:lineRule="atLeast"/>
        <w:ind w:firstLine="420" w:firstLineChars="0"/>
        <w:jc w:val="both"/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08B23A42">
      <w:pPr>
        <w:spacing w:line="540" w:lineRule="atLeast"/>
        <w:jc w:val="right"/>
        <w:rPr>
          <w:rFonts w:hint="eastAsia" w:ascii="宋体" w:hAnsi="宋体" w:eastAsia="宋体" w:cs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color w:val="000000" w:themeColor="text1"/>
          <w14:textFill>
            <w14:solidFill>
              <w14:schemeClr w14:val="tx1"/>
            </w14:solidFill>
          </w14:textFill>
        </w:rPr>
        <w:t>信息管理部</w:t>
      </w:r>
    </w:p>
    <w:p w14:paraId="039C1CA1">
      <w:pPr>
        <w:spacing w:line="540" w:lineRule="atLeast"/>
        <w:jc w:val="right"/>
        <w:rPr>
          <w:rFonts w:hint="eastAsia" w:ascii="宋体" w:hAnsi="宋体" w:eastAsia="宋体" w:cs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宋体" w:hAnsi="宋体" w:eastAsia="宋体" w:cs="宋体"/>
          <w:color w:val="000000" w:themeColor="text1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宋体" w:hAnsi="宋体" w:eastAsia="宋体" w:cs="宋体"/>
          <w:color w:val="000000" w:themeColor="text1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hint="eastAsia" w:ascii="宋体" w:hAnsi="宋体" w:eastAsia="宋体" w:cs="宋体"/>
          <w:color w:val="000000" w:themeColor="text1"/>
          <w14:textFill>
            <w14:solidFill>
              <w14:schemeClr w14:val="tx1"/>
            </w14:solidFill>
          </w14:textFill>
        </w:rPr>
        <w:t>日</w:t>
      </w:r>
    </w:p>
    <w:p w14:paraId="7742D196">
      <w:pPr>
        <w:spacing w:line="540" w:lineRule="atLeast"/>
        <w:ind w:firstLine="480" w:firstLineChars="200"/>
        <w:jc w:val="both"/>
        <w:rPr>
          <w:rFonts w:hint="eastAsia" w:ascii="宋体" w:hAnsi="宋体" w:eastAsia="宋体" w:cs="宋体"/>
          <w:color w:val="000000" w:themeColor="text1"/>
          <w14:textFill>
            <w14:solidFill>
              <w14:schemeClr w14:val="tx1"/>
            </w14:solidFill>
          </w14:textFill>
        </w:rPr>
      </w:pPr>
    </w:p>
    <w:p w14:paraId="4AEC0A98">
      <w:pPr>
        <w:pStyle w:val="6"/>
        <w:spacing w:before="0" w:after="0" w:line="560" w:lineRule="exact"/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bookmarkStart w:id="0" w:name="_Toc6712"/>
    </w:p>
    <w:p w14:paraId="071EE7B0">
      <w:pPr>
        <w:pStyle w:val="6"/>
        <w:spacing w:before="0" w:after="0" w:line="560" w:lineRule="exact"/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691E030C"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6B9ED20D"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7ADA530F"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15368C9F"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226141FE"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7F3D008E">
      <w:pPr>
        <w:pStyle w:val="6"/>
        <w:spacing w:before="0" w:after="0" w:line="560" w:lineRule="exact"/>
        <w:jc w:val="both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附件1：</w:t>
      </w:r>
      <w:bookmarkEnd w:id="0"/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初步参数征集</w:t>
      </w:r>
    </w:p>
    <w:tbl>
      <w:tblPr>
        <w:tblStyle w:val="20"/>
        <w:tblW w:w="109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3"/>
        <w:gridCol w:w="859"/>
        <w:gridCol w:w="3586"/>
        <w:gridCol w:w="2264"/>
        <w:gridCol w:w="1813"/>
        <w:gridCol w:w="914"/>
      </w:tblGrid>
      <w:tr w14:paraId="43E421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503" w:type="dxa"/>
            <w:vAlign w:val="center"/>
          </w:tcPr>
          <w:p w14:paraId="5B4D596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  <w:t>项目</w:t>
            </w: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名称</w:t>
            </w:r>
          </w:p>
        </w:tc>
        <w:tc>
          <w:tcPr>
            <w:tcW w:w="859" w:type="dxa"/>
            <w:vAlign w:val="center"/>
          </w:tcPr>
          <w:p w14:paraId="4F1C5D1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3586" w:type="dxa"/>
            <w:vAlign w:val="center"/>
          </w:tcPr>
          <w:p w14:paraId="7A947DE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  <w:t>服务类别</w:t>
            </w:r>
          </w:p>
        </w:tc>
        <w:tc>
          <w:tcPr>
            <w:tcW w:w="2264" w:type="dxa"/>
            <w:vAlign w:val="center"/>
          </w:tcPr>
          <w:p w14:paraId="45DA905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Theme="min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  <w:t>详细参数（需提供服务配套硬件设备品牌型号及相关参数）</w:t>
            </w:r>
          </w:p>
        </w:tc>
        <w:tc>
          <w:tcPr>
            <w:tcW w:w="1813" w:type="dxa"/>
            <w:vAlign w:val="center"/>
          </w:tcPr>
          <w:p w14:paraId="4B50803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  <w:t>需求响应情况</w:t>
            </w:r>
          </w:p>
          <w:p w14:paraId="6A0405E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Theme="min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  <w:t>（满足/优于）</w:t>
            </w:r>
          </w:p>
        </w:tc>
        <w:tc>
          <w:tcPr>
            <w:tcW w:w="914" w:type="dxa"/>
            <w:vAlign w:val="center"/>
          </w:tcPr>
          <w:p w14:paraId="6053545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  <w:t>单价（元/年）</w:t>
            </w:r>
          </w:p>
        </w:tc>
      </w:tr>
      <w:tr w14:paraId="0C1216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03" w:type="dxa"/>
            <w:vMerge w:val="restart"/>
            <w:vAlign w:val="center"/>
          </w:tcPr>
          <w:p w14:paraId="305834A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六安市中医院算力提升及存储扩容服务项目</w:t>
            </w:r>
          </w:p>
        </w:tc>
        <w:tc>
          <w:tcPr>
            <w:tcW w:w="859" w:type="dxa"/>
            <w:vAlign w:val="center"/>
          </w:tcPr>
          <w:p w14:paraId="71CB83A0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586" w:type="dxa"/>
            <w:vAlign w:val="center"/>
          </w:tcPr>
          <w:p w14:paraId="789D309E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服务器与存储扩容配套服务</w:t>
            </w:r>
          </w:p>
        </w:tc>
        <w:tc>
          <w:tcPr>
            <w:tcW w:w="2264" w:type="dxa"/>
            <w:vAlign w:val="center"/>
          </w:tcPr>
          <w:p w14:paraId="109E038E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813" w:type="dxa"/>
            <w:vAlign w:val="center"/>
          </w:tcPr>
          <w:p w14:paraId="12AE6149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14" w:type="dxa"/>
            <w:vAlign w:val="center"/>
          </w:tcPr>
          <w:p w14:paraId="44D07DBF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仿宋"/>
                <w:color w:val="000000"/>
                <w:kern w:val="0"/>
                <w:sz w:val="24"/>
                <w:szCs w:val="24"/>
              </w:rPr>
            </w:pPr>
          </w:p>
        </w:tc>
      </w:tr>
      <w:tr w14:paraId="15E8AC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03" w:type="dxa"/>
            <w:vMerge w:val="continue"/>
            <w:vAlign w:val="center"/>
          </w:tcPr>
          <w:p w14:paraId="58D7449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859" w:type="dxa"/>
            <w:vAlign w:val="center"/>
          </w:tcPr>
          <w:p w14:paraId="1A2EFEB2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586" w:type="dxa"/>
            <w:vAlign w:val="center"/>
          </w:tcPr>
          <w:p w14:paraId="0EF29A12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超融合集群配套服务</w:t>
            </w:r>
          </w:p>
        </w:tc>
        <w:tc>
          <w:tcPr>
            <w:tcW w:w="2264" w:type="dxa"/>
            <w:vAlign w:val="center"/>
          </w:tcPr>
          <w:p w14:paraId="46BBB029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1813" w:type="dxa"/>
            <w:vAlign w:val="center"/>
          </w:tcPr>
          <w:p w14:paraId="27ADB918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914" w:type="dxa"/>
            <w:vAlign w:val="center"/>
          </w:tcPr>
          <w:p w14:paraId="2030FA9A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</w:tr>
      <w:tr w14:paraId="49CC02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03" w:type="dxa"/>
            <w:vMerge w:val="continue"/>
            <w:vAlign w:val="center"/>
          </w:tcPr>
          <w:p w14:paraId="6F695BB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859" w:type="dxa"/>
            <w:vAlign w:val="center"/>
          </w:tcPr>
          <w:p w14:paraId="2F98F070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586" w:type="dxa"/>
            <w:vAlign w:val="center"/>
          </w:tcPr>
          <w:p w14:paraId="429701B2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PACS存储</w:t>
            </w:r>
            <w:r>
              <w:rPr>
                <w:rFonts w:hint="eastAsia" w:ascii="宋体" w:hAnsi="宋体" w:eastAsia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扩容配套服务</w:t>
            </w:r>
          </w:p>
        </w:tc>
        <w:tc>
          <w:tcPr>
            <w:tcW w:w="2264" w:type="dxa"/>
            <w:vAlign w:val="center"/>
          </w:tcPr>
          <w:p w14:paraId="7DCCD10E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813" w:type="dxa"/>
            <w:vAlign w:val="center"/>
          </w:tcPr>
          <w:p w14:paraId="2496AB0C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914" w:type="dxa"/>
            <w:vAlign w:val="center"/>
          </w:tcPr>
          <w:p w14:paraId="67C17A18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</w:tr>
      <w:tr w14:paraId="378C90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03" w:type="dxa"/>
            <w:vMerge w:val="continue"/>
            <w:vAlign w:val="center"/>
          </w:tcPr>
          <w:p w14:paraId="70FA181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859" w:type="dxa"/>
            <w:vAlign w:val="center"/>
          </w:tcPr>
          <w:p w14:paraId="3A31115E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3586" w:type="dxa"/>
            <w:vAlign w:val="center"/>
          </w:tcPr>
          <w:p w14:paraId="713698CA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云存储</w:t>
            </w:r>
            <w:r>
              <w:rPr>
                <w:rFonts w:hint="eastAsia" w:ascii="宋体" w:hAnsi="宋体" w:eastAsia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配套</w:t>
            </w:r>
            <w:r>
              <w:rPr>
                <w:rFonts w:hint="eastAsia" w:ascii="宋体" w:hAnsi="宋体" w:eastAsia="宋体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服务</w:t>
            </w:r>
          </w:p>
        </w:tc>
        <w:tc>
          <w:tcPr>
            <w:tcW w:w="2264" w:type="dxa"/>
            <w:vAlign w:val="center"/>
          </w:tcPr>
          <w:p w14:paraId="7D60E973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813" w:type="dxa"/>
            <w:vAlign w:val="center"/>
          </w:tcPr>
          <w:p w14:paraId="25647526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914" w:type="dxa"/>
            <w:vAlign w:val="center"/>
          </w:tcPr>
          <w:p w14:paraId="7AFE2F20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</w:tr>
      <w:tr w14:paraId="139F69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03" w:type="dxa"/>
            <w:vMerge w:val="continue"/>
            <w:vAlign w:val="center"/>
          </w:tcPr>
          <w:p w14:paraId="58E5414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859" w:type="dxa"/>
            <w:vAlign w:val="center"/>
          </w:tcPr>
          <w:p w14:paraId="4744AB0D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3586" w:type="dxa"/>
            <w:vAlign w:val="center"/>
          </w:tcPr>
          <w:p w14:paraId="072191B1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数据迁移服务</w:t>
            </w:r>
          </w:p>
        </w:tc>
        <w:tc>
          <w:tcPr>
            <w:tcW w:w="2264" w:type="dxa"/>
            <w:vAlign w:val="center"/>
          </w:tcPr>
          <w:p w14:paraId="3B6DBD4A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813" w:type="dxa"/>
            <w:vAlign w:val="center"/>
          </w:tcPr>
          <w:p w14:paraId="3D3522CF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914" w:type="dxa"/>
            <w:vAlign w:val="center"/>
          </w:tcPr>
          <w:p w14:paraId="2A4B6B9B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</w:tr>
      <w:tr w14:paraId="08955A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03" w:type="dxa"/>
            <w:vMerge w:val="continue"/>
            <w:vAlign w:val="center"/>
          </w:tcPr>
          <w:p w14:paraId="73BF739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859" w:type="dxa"/>
            <w:vAlign w:val="center"/>
          </w:tcPr>
          <w:p w14:paraId="46A14EFF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3586" w:type="dxa"/>
            <w:vAlign w:val="center"/>
          </w:tcPr>
          <w:p w14:paraId="7D0300CF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服务器及存储维保服务</w:t>
            </w:r>
          </w:p>
        </w:tc>
        <w:tc>
          <w:tcPr>
            <w:tcW w:w="2264" w:type="dxa"/>
            <w:vAlign w:val="center"/>
          </w:tcPr>
          <w:p w14:paraId="5428198B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1813" w:type="dxa"/>
            <w:vAlign w:val="center"/>
          </w:tcPr>
          <w:p w14:paraId="58569EDE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914" w:type="dxa"/>
            <w:vAlign w:val="center"/>
          </w:tcPr>
          <w:p w14:paraId="0C726B05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</w:tr>
      <w:tr w14:paraId="6BC423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03" w:type="dxa"/>
            <w:vAlign w:val="center"/>
          </w:tcPr>
          <w:p w14:paraId="4A4FCBB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总价</w:t>
            </w:r>
            <w:r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  <w:t>（元）</w:t>
            </w:r>
          </w:p>
        </w:tc>
        <w:tc>
          <w:tcPr>
            <w:tcW w:w="9436" w:type="dxa"/>
            <w:gridSpan w:val="5"/>
            <w:vAlign w:val="center"/>
          </w:tcPr>
          <w:p w14:paraId="2B18E4EF">
            <w:pPr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</w:tr>
    </w:tbl>
    <w:p w14:paraId="41378D0D">
      <w:pPr>
        <w:pStyle w:val="6"/>
        <w:spacing w:before="0" w:after="0" w:line="560" w:lineRule="exact"/>
        <w:rPr>
          <w:rFonts w:ascii="宋体" w:hAnsi="宋体" w:cs="宋体"/>
          <w:sz w:val="28"/>
          <w:szCs w:val="28"/>
        </w:rPr>
      </w:pPr>
    </w:p>
    <w:p w14:paraId="285C8D81">
      <w:pPr>
        <w:spacing w:after="120" w:line="500" w:lineRule="exact"/>
        <w:ind w:firstLine="240" w:firstLineChars="100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63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MwZWE0MjdkNmUyYzJlNjJmNTM0ODJjOTJiNjk2Y2IifQ=="/>
  </w:docVars>
  <w:rsids>
    <w:rsidRoot w:val="00703327"/>
    <w:rsid w:val="000E0FC5"/>
    <w:rsid w:val="00703327"/>
    <w:rsid w:val="008053FA"/>
    <w:rsid w:val="057F7E5D"/>
    <w:rsid w:val="075D0149"/>
    <w:rsid w:val="10363777"/>
    <w:rsid w:val="103973E0"/>
    <w:rsid w:val="17C67B28"/>
    <w:rsid w:val="2487233A"/>
    <w:rsid w:val="29CE2F44"/>
    <w:rsid w:val="2DE33AEA"/>
    <w:rsid w:val="3A554091"/>
    <w:rsid w:val="485E0755"/>
    <w:rsid w:val="51B57E15"/>
    <w:rsid w:val="58C00D53"/>
    <w:rsid w:val="5B29664B"/>
    <w:rsid w:val="64C702DA"/>
    <w:rsid w:val="75614083"/>
    <w:rsid w:val="79E33BB3"/>
    <w:rsid w:val="7D102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uiPriority="35" w:name="caption"/>
    <w:lsdException w:uiPriority="99" w:name="table of figures"/>
    <w:lsdException w:uiPriority="99" w:name="envelope address"/>
    <w:lsdException w:qFormat="1" w:unhideWhenUsed="0" w:uiPriority="0" w:semiHidden="0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0" w:semiHidden="0" w:name="Body Text First Indent 2"/>
    <w:lsdException w:uiPriority="99" w:name="Note Heading"/>
    <w:lsdException w:uiPriority="99" w:name="Body Text 2"/>
    <w:lsdException w:qFormat="1" w:unhideWhenUsed="0" w:uiPriority="0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rPr>
      <w:rFonts w:cs="Times New Roman" w:asciiTheme="minorHAnsi" w:hAnsiTheme="minorHAnsi" w:eastAsiaTheme="minorEastAsia"/>
      <w:sz w:val="24"/>
      <w:szCs w:val="24"/>
      <w:lang w:val="en-US" w:eastAsia="zh-CN" w:bidi="ar-SA"/>
    </w:rPr>
  </w:style>
  <w:style w:type="paragraph" w:styleId="5">
    <w:name w:val="heading 1"/>
    <w:basedOn w:val="1"/>
    <w:next w:val="1"/>
    <w:link w:val="26"/>
    <w:qFormat/>
    <w:uiPriority w:val="9"/>
    <w:pPr>
      <w:keepNext/>
      <w:spacing w:before="240" w:after="60"/>
      <w:outlineLvl w:val="0"/>
    </w:pPr>
    <w:rPr>
      <w:rFonts w:cs="宋体" w:asciiTheme="majorHAnsi" w:hAnsiTheme="majorHAnsi" w:eastAsiaTheme="majorEastAsia"/>
      <w:b/>
      <w:bCs/>
      <w:kern w:val="32"/>
      <w:sz w:val="32"/>
      <w:szCs w:val="32"/>
    </w:rPr>
  </w:style>
  <w:style w:type="paragraph" w:styleId="6">
    <w:name w:val="heading 2"/>
    <w:basedOn w:val="1"/>
    <w:next w:val="1"/>
    <w:link w:val="27"/>
    <w:unhideWhenUsed/>
    <w:qFormat/>
    <w:uiPriority w:val="9"/>
    <w:pPr>
      <w:keepNext/>
      <w:spacing w:before="240" w:after="60"/>
      <w:outlineLvl w:val="1"/>
    </w:pPr>
    <w:rPr>
      <w:rFonts w:cs="宋体" w:asciiTheme="majorHAnsi" w:hAnsiTheme="majorHAnsi" w:eastAsiaTheme="majorEastAsia"/>
      <w:b/>
      <w:bCs/>
      <w:i/>
      <w:iCs/>
      <w:sz w:val="28"/>
      <w:szCs w:val="28"/>
    </w:rPr>
  </w:style>
  <w:style w:type="paragraph" w:styleId="7">
    <w:name w:val="heading 3"/>
    <w:basedOn w:val="1"/>
    <w:next w:val="1"/>
    <w:link w:val="28"/>
    <w:unhideWhenUsed/>
    <w:qFormat/>
    <w:uiPriority w:val="9"/>
    <w:pPr>
      <w:keepNext/>
      <w:spacing w:before="240" w:after="60"/>
      <w:outlineLvl w:val="2"/>
    </w:pPr>
    <w:rPr>
      <w:rFonts w:cs="宋体" w:asciiTheme="majorHAnsi" w:hAnsiTheme="majorHAnsi" w:eastAsiaTheme="majorEastAsia"/>
      <w:b/>
      <w:bCs/>
      <w:sz w:val="26"/>
      <w:szCs w:val="26"/>
    </w:rPr>
  </w:style>
  <w:style w:type="paragraph" w:styleId="8">
    <w:name w:val="heading 4"/>
    <w:basedOn w:val="1"/>
    <w:next w:val="1"/>
    <w:link w:val="29"/>
    <w:unhideWhenUsed/>
    <w:qFormat/>
    <w:uiPriority w:val="9"/>
    <w:pPr>
      <w:keepNext/>
      <w:spacing w:before="240" w:after="60"/>
      <w:outlineLvl w:val="3"/>
    </w:pPr>
    <w:rPr>
      <w:rFonts w:cs="宋体"/>
      <w:b/>
      <w:bCs/>
      <w:sz w:val="28"/>
      <w:szCs w:val="28"/>
    </w:rPr>
  </w:style>
  <w:style w:type="paragraph" w:styleId="9">
    <w:name w:val="heading 5"/>
    <w:basedOn w:val="1"/>
    <w:next w:val="1"/>
    <w:link w:val="30"/>
    <w:semiHidden/>
    <w:unhideWhenUsed/>
    <w:qFormat/>
    <w:uiPriority w:val="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10">
    <w:name w:val="heading 6"/>
    <w:basedOn w:val="1"/>
    <w:next w:val="1"/>
    <w:link w:val="31"/>
    <w:autoRedefine/>
    <w:semiHidden/>
    <w:unhideWhenUsed/>
    <w:qFormat/>
    <w:uiPriority w:val="9"/>
    <w:pPr>
      <w:spacing w:before="240" w:after="60"/>
      <w:outlineLvl w:val="5"/>
    </w:pPr>
    <w:rPr>
      <w:b/>
      <w:bCs/>
      <w:sz w:val="22"/>
      <w:szCs w:val="22"/>
    </w:rPr>
  </w:style>
  <w:style w:type="paragraph" w:styleId="11">
    <w:name w:val="heading 7"/>
    <w:basedOn w:val="1"/>
    <w:next w:val="1"/>
    <w:link w:val="32"/>
    <w:semiHidden/>
    <w:unhideWhenUsed/>
    <w:qFormat/>
    <w:uiPriority w:val="9"/>
    <w:pPr>
      <w:spacing w:before="240" w:after="60"/>
      <w:outlineLvl w:val="6"/>
    </w:pPr>
  </w:style>
  <w:style w:type="paragraph" w:styleId="12">
    <w:name w:val="heading 8"/>
    <w:basedOn w:val="1"/>
    <w:next w:val="1"/>
    <w:link w:val="33"/>
    <w:semiHidden/>
    <w:unhideWhenUsed/>
    <w:qFormat/>
    <w:uiPriority w:val="9"/>
    <w:pPr>
      <w:spacing w:before="240" w:after="60"/>
      <w:outlineLvl w:val="7"/>
    </w:pPr>
    <w:rPr>
      <w:i/>
      <w:iCs/>
    </w:rPr>
  </w:style>
  <w:style w:type="paragraph" w:styleId="13">
    <w:name w:val="heading 9"/>
    <w:basedOn w:val="1"/>
    <w:next w:val="1"/>
    <w:link w:val="34"/>
    <w:autoRedefine/>
    <w:semiHidden/>
    <w:unhideWhenUsed/>
    <w:qFormat/>
    <w:uiPriority w:val="9"/>
    <w:pPr>
      <w:spacing w:before="240" w:after="60"/>
      <w:outlineLvl w:val="8"/>
    </w:pPr>
    <w:rPr>
      <w:rFonts w:asciiTheme="majorHAnsi" w:hAnsiTheme="majorHAnsi" w:eastAsiaTheme="majorEastAsia"/>
      <w:sz w:val="22"/>
      <w:szCs w:val="22"/>
    </w:rPr>
  </w:style>
  <w:style w:type="character" w:default="1" w:styleId="22">
    <w:name w:val="Default Paragraph Font"/>
    <w:semiHidden/>
    <w:unhideWhenUsed/>
    <w:qFormat/>
    <w:uiPriority w:val="1"/>
  </w:style>
  <w:style w:type="table" w:default="1" w:styleId="2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0"/>
    <w:pPr>
      <w:ind w:firstLine="420"/>
    </w:pPr>
  </w:style>
  <w:style w:type="paragraph" w:styleId="3">
    <w:name w:val="Body Text Indent"/>
    <w:basedOn w:val="1"/>
    <w:next w:val="4"/>
    <w:unhideWhenUsed/>
    <w:qFormat/>
    <w:uiPriority w:val="99"/>
    <w:pPr>
      <w:spacing w:after="120"/>
      <w:ind w:left="420" w:leftChars="200"/>
    </w:pPr>
  </w:style>
  <w:style w:type="paragraph" w:styleId="4">
    <w:name w:val="envelope return"/>
    <w:basedOn w:val="1"/>
    <w:qFormat/>
    <w:uiPriority w:val="0"/>
    <w:pPr>
      <w:adjustRightInd/>
      <w:spacing w:line="240" w:lineRule="auto"/>
      <w:ind w:firstLine="0" w:firstLineChars="0"/>
      <w:jc w:val="both"/>
    </w:pPr>
    <w:rPr>
      <w:rFonts w:ascii="Arial" w:hAnsi="Arial" w:cs="Times New Roman"/>
      <w:sz w:val="21"/>
    </w:rPr>
  </w:style>
  <w:style w:type="paragraph" w:styleId="14">
    <w:name w:val="Body Text 3"/>
    <w:basedOn w:val="1"/>
    <w:qFormat/>
    <w:uiPriority w:val="0"/>
    <w:pPr>
      <w:spacing w:after="120"/>
    </w:pPr>
    <w:rPr>
      <w:sz w:val="16"/>
      <w:szCs w:val="16"/>
    </w:rPr>
  </w:style>
  <w:style w:type="paragraph" w:styleId="1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6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7">
    <w:name w:val="Subtitle"/>
    <w:basedOn w:val="1"/>
    <w:next w:val="1"/>
    <w:link w:val="36"/>
    <w:autoRedefine/>
    <w:qFormat/>
    <w:uiPriority w:val="11"/>
    <w:pPr>
      <w:spacing w:after="60"/>
      <w:jc w:val="center"/>
      <w:outlineLvl w:val="1"/>
    </w:pPr>
    <w:rPr>
      <w:rFonts w:asciiTheme="majorHAnsi" w:hAnsiTheme="majorHAnsi" w:eastAsiaTheme="majorEastAsia"/>
    </w:rPr>
  </w:style>
  <w:style w:type="paragraph" w:styleId="18">
    <w:name w:val="Normal (Web)"/>
    <w:basedOn w:val="1"/>
    <w:autoRedefine/>
    <w:semiHidden/>
    <w:unhideWhenUsed/>
    <w:qFormat/>
    <w:uiPriority w:val="99"/>
    <w:pPr>
      <w:spacing w:before="100" w:beforeAutospacing="1" w:after="100" w:afterAutospacing="1"/>
    </w:pPr>
    <w:rPr>
      <w:rFonts w:ascii="宋体" w:hAnsi="宋体" w:eastAsia="宋体" w:cs="宋体"/>
    </w:rPr>
  </w:style>
  <w:style w:type="paragraph" w:styleId="19">
    <w:name w:val="Title"/>
    <w:basedOn w:val="1"/>
    <w:next w:val="1"/>
    <w:link w:val="35"/>
    <w:autoRedefine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/>
      <w:b/>
      <w:bCs/>
      <w:kern w:val="28"/>
      <w:sz w:val="32"/>
      <w:szCs w:val="32"/>
    </w:rPr>
  </w:style>
  <w:style w:type="table" w:styleId="21">
    <w:name w:val="Table Grid"/>
    <w:basedOn w:val="2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3">
    <w:name w:val="Strong"/>
    <w:basedOn w:val="22"/>
    <w:autoRedefine/>
    <w:qFormat/>
    <w:uiPriority w:val="22"/>
    <w:rPr>
      <w:b/>
      <w:bCs/>
    </w:rPr>
  </w:style>
  <w:style w:type="character" w:styleId="24">
    <w:name w:val="page number"/>
    <w:basedOn w:val="22"/>
    <w:qFormat/>
    <w:uiPriority w:val="0"/>
  </w:style>
  <w:style w:type="character" w:styleId="25">
    <w:name w:val="Emphasis"/>
    <w:basedOn w:val="22"/>
    <w:autoRedefine/>
    <w:qFormat/>
    <w:uiPriority w:val="20"/>
    <w:rPr>
      <w:rFonts w:asciiTheme="minorHAnsi" w:hAnsiTheme="minorHAnsi"/>
      <w:b/>
      <w:i/>
      <w:iCs/>
    </w:rPr>
  </w:style>
  <w:style w:type="character" w:customStyle="1" w:styleId="26">
    <w:name w:val="标题 1 Char"/>
    <w:basedOn w:val="22"/>
    <w:link w:val="5"/>
    <w:qFormat/>
    <w:uiPriority w:val="9"/>
    <w:rPr>
      <w:rFonts w:cs="宋体" w:asciiTheme="majorHAnsi" w:hAnsiTheme="majorHAnsi" w:eastAsiaTheme="majorEastAsia"/>
      <w:b/>
      <w:bCs/>
      <w:kern w:val="32"/>
      <w:sz w:val="32"/>
      <w:szCs w:val="32"/>
    </w:rPr>
  </w:style>
  <w:style w:type="character" w:customStyle="1" w:styleId="27">
    <w:name w:val="标题 2 Char"/>
    <w:basedOn w:val="22"/>
    <w:link w:val="6"/>
    <w:qFormat/>
    <w:uiPriority w:val="9"/>
    <w:rPr>
      <w:rFonts w:cs="宋体" w:asciiTheme="majorHAnsi" w:hAnsiTheme="majorHAnsi" w:eastAsiaTheme="majorEastAsia"/>
      <w:b/>
      <w:bCs/>
      <w:i/>
      <w:iCs/>
      <w:sz w:val="28"/>
      <w:szCs w:val="28"/>
    </w:rPr>
  </w:style>
  <w:style w:type="character" w:customStyle="1" w:styleId="28">
    <w:name w:val="标题 3 Char"/>
    <w:basedOn w:val="22"/>
    <w:link w:val="7"/>
    <w:autoRedefine/>
    <w:qFormat/>
    <w:uiPriority w:val="9"/>
    <w:rPr>
      <w:rFonts w:cs="宋体" w:asciiTheme="majorHAnsi" w:hAnsiTheme="majorHAnsi" w:eastAsiaTheme="majorEastAsia"/>
      <w:b/>
      <w:bCs/>
      <w:sz w:val="26"/>
      <w:szCs w:val="26"/>
    </w:rPr>
  </w:style>
  <w:style w:type="character" w:customStyle="1" w:styleId="29">
    <w:name w:val="标题 4 Char"/>
    <w:basedOn w:val="22"/>
    <w:link w:val="8"/>
    <w:autoRedefine/>
    <w:qFormat/>
    <w:uiPriority w:val="9"/>
    <w:rPr>
      <w:rFonts w:cs="宋体"/>
      <w:b/>
      <w:bCs/>
      <w:sz w:val="28"/>
      <w:szCs w:val="28"/>
    </w:rPr>
  </w:style>
  <w:style w:type="character" w:customStyle="1" w:styleId="30">
    <w:name w:val="标题 5 Char"/>
    <w:basedOn w:val="22"/>
    <w:link w:val="9"/>
    <w:semiHidden/>
    <w:qFormat/>
    <w:uiPriority w:val="9"/>
    <w:rPr>
      <w:b/>
      <w:bCs/>
      <w:i/>
      <w:iCs/>
      <w:sz w:val="26"/>
      <w:szCs w:val="26"/>
    </w:rPr>
  </w:style>
  <w:style w:type="character" w:customStyle="1" w:styleId="31">
    <w:name w:val="标题 6 Char"/>
    <w:basedOn w:val="22"/>
    <w:link w:val="10"/>
    <w:semiHidden/>
    <w:qFormat/>
    <w:uiPriority w:val="9"/>
    <w:rPr>
      <w:b/>
      <w:bCs/>
    </w:rPr>
  </w:style>
  <w:style w:type="character" w:customStyle="1" w:styleId="32">
    <w:name w:val="标题 7 Char"/>
    <w:basedOn w:val="22"/>
    <w:link w:val="11"/>
    <w:semiHidden/>
    <w:qFormat/>
    <w:uiPriority w:val="9"/>
    <w:rPr>
      <w:sz w:val="24"/>
      <w:szCs w:val="24"/>
    </w:rPr>
  </w:style>
  <w:style w:type="character" w:customStyle="1" w:styleId="33">
    <w:name w:val="标题 8 Char"/>
    <w:basedOn w:val="22"/>
    <w:link w:val="12"/>
    <w:autoRedefine/>
    <w:semiHidden/>
    <w:qFormat/>
    <w:uiPriority w:val="9"/>
    <w:rPr>
      <w:i/>
      <w:iCs/>
      <w:sz w:val="24"/>
      <w:szCs w:val="24"/>
    </w:rPr>
  </w:style>
  <w:style w:type="character" w:customStyle="1" w:styleId="34">
    <w:name w:val="标题 9 Char"/>
    <w:basedOn w:val="22"/>
    <w:link w:val="13"/>
    <w:autoRedefine/>
    <w:semiHidden/>
    <w:qFormat/>
    <w:uiPriority w:val="9"/>
    <w:rPr>
      <w:rFonts w:asciiTheme="majorHAnsi" w:hAnsiTheme="majorHAnsi" w:eastAsiaTheme="majorEastAsia"/>
    </w:rPr>
  </w:style>
  <w:style w:type="character" w:customStyle="1" w:styleId="35">
    <w:name w:val="标题 Char"/>
    <w:basedOn w:val="22"/>
    <w:link w:val="19"/>
    <w:autoRedefine/>
    <w:qFormat/>
    <w:uiPriority w:val="10"/>
    <w:rPr>
      <w:rFonts w:asciiTheme="majorHAnsi" w:hAnsiTheme="majorHAnsi" w:eastAsiaTheme="majorEastAsia"/>
      <w:b/>
      <w:bCs/>
      <w:kern w:val="28"/>
      <w:sz w:val="32"/>
      <w:szCs w:val="32"/>
    </w:rPr>
  </w:style>
  <w:style w:type="character" w:customStyle="1" w:styleId="36">
    <w:name w:val="副标题 Char"/>
    <w:basedOn w:val="22"/>
    <w:link w:val="17"/>
    <w:autoRedefine/>
    <w:qFormat/>
    <w:uiPriority w:val="11"/>
    <w:rPr>
      <w:rFonts w:asciiTheme="majorHAnsi" w:hAnsiTheme="majorHAnsi" w:eastAsiaTheme="majorEastAsia"/>
      <w:sz w:val="24"/>
      <w:szCs w:val="24"/>
    </w:rPr>
  </w:style>
  <w:style w:type="paragraph" w:styleId="37">
    <w:name w:val="No Spacing"/>
    <w:basedOn w:val="1"/>
    <w:autoRedefine/>
    <w:qFormat/>
    <w:uiPriority w:val="1"/>
    <w:rPr>
      <w:szCs w:val="32"/>
    </w:rPr>
  </w:style>
  <w:style w:type="paragraph" w:styleId="38">
    <w:name w:val="List Paragraph"/>
    <w:basedOn w:val="1"/>
    <w:autoRedefine/>
    <w:qFormat/>
    <w:uiPriority w:val="34"/>
    <w:pPr>
      <w:ind w:left="720"/>
      <w:contextualSpacing/>
    </w:pPr>
  </w:style>
  <w:style w:type="paragraph" w:styleId="39">
    <w:name w:val="Quote"/>
    <w:basedOn w:val="1"/>
    <w:next w:val="1"/>
    <w:link w:val="40"/>
    <w:autoRedefine/>
    <w:qFormat/>
    <w:uiPriority w:val="29"/>
    <w:rPr>
      <w:i/>
    </w:rPr>
  </w:style>
  <w:style w:type="character" w:customStyle="1" w:styleId="40">
    <w:name w:val="引用 Char"/>
    <w:basedOn w:val="22"/>
    <w:link w:val="39"/>
    <w:autoRedefine/>
    <w:qFormat/>
    <w:uiPriority w:val="29"/>
    <w:rPr>
      <w:i/>
      <w:sz w:val="24"/>
      <w:szCs w:val="24"/>
    </w:rPr>
  </w:style>
  <w:style w:type="paragraph" w:styleId="41">
    <w:name w:val="Intense Quote"/>
    <w:basedOn w:val="1"/>
    <w:next w:val="1"/>
    <w:link w:val="42"/>
    <w:autoRedefine/>
    <w:qFormat/>
    <w:uiPriority w:val="30"/>
    <w:pPr>
      <w:ind w:left="720" w:right="720"/>
    </w:pPr>
    <w:rPr>
      <w:b/>
      <w:i/>
      <w:szCs w:val="22"/>
    </w:rPr>
  </w:style>
  <w:style w:type="character" w:customStyle="1" w:styleId="42">
    <w:name w:val="明显引用 Char"/>
    <w:basedOn w:val="22"/>
    <w:link w:val="41"/>
    <w:autoRedefine/>
    <w:qFormat/>
    <w:uiPriority w:val="30"/>
    <w:rPr>
      <w:b/>
      <w:i/>
      <w:sz w:val="24"/>
    </w:rPr>
  </w:style>
  <w:style w:type="character" w:customStyle="1" w:styleId="43">
    <w:name w:val="Subtle Emphasis"/>
    <w:autoRedefine/>
    <w:qFormat/>
    <w:uiPriority w:val="19"/>
    <w:rPr>
      <w:i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44">
    <w:name w:val="Intense Emphasis"/>
    <w:basedOn w:val="22"/>
    <w:autoRedefine/>
    <w:qFormat/>
    <w:uiPriority w:val="21"/>
    <w:rPr>
      <w:b/>
      <w:i/>
      <w:sz w:val="24"/>
      <w:szCs w:val="24"/>
      <w:u w:val="single"/>
    </w:rPr>
  </w:style>
  <w:style w:type="character" w:customStyle="1" w:styleId="45">
    <w:name w:val="Subtle Reference"/>
    <w:basedOn w:val="22"/>
    <w:autoRedefine/>
    <w:qFormat/>
    <w:uiPriority w:val="31"/>
    <w:rPr>
      <w:sz w:val="24"/>
      <w:szCs w:val="24"/>
      <w:u w:val="single"/>
    </w:rPr>
  </w:style>
  <w:style w:type="character" w:customStyle="1" w:styleId="46">
    <w:name w:val="Intense Reference"/>
    <w:basedOn w:val="22"/>
    <w:autoRedefine/>
    <w:qFormat/>
    <w:uiPriority w:val="32"/>
    <w:rPr>
      <w:b/>
      <w:sz w:val="24"/>
      <w:u w:val="single"/>
    </w:rPr>
  </w:style>
  <w:style w:type="character" w:customStyle="1" w:styleId="47">
    <w:name w:val="Book Title"/>
    <w:basedOn w:val="22"/>
    <w:autoRedefine/>
    <w:qFormat/>
    <w:uiPriority w:val="33"/>
    <w:rPr>
      <w:rFonts w:asciiTheme="majorHAnsi" w:hAnsiTheme="majorHAnsi" w:eastAsiaTheme="majorEastAsia"/>
      <w:b/>
      <w:i/>
      <w:sz w:val="24"/>
      <w:szCs w:val="24"/>
    </w:rPr>
  </w:style>
  <w:style w:type="paragraph" w:customStyle="1" w:styleId="48">
    <w:name w:val="TOC Heading"/>
    <w:basedOn w:val="5"/>
    <w:next w:val="1"/>
    <w:autoRedefine/>
    <w:semiHidden/>
    <w:unhideWhenUsed/>
    <w:qFormat/>
    <w:uiPriority w:val="39"/>
    <w:pPr>
      <w:outlineLvl w:val="9"/>
    </w:pPr>
    <w:rPr>
      <w:rFonts w:cs="Times New Roman"/>
    </w:rPr>
  </w:style>
  <w:style w:type="table" w:customStyle="1" w:styleId="49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57d5bcc8-27cc-408b-b132-54a4d4ee5a47</errorID>
      <errorWord>服务项目</errorWord>
      <group>L1_Grammar</group>
      <groupName>语法问题</groupName>
      <ability>L2_Grammar</ability>
      <abilityName>语法错误</abilityName>
      <candidateList>
        <item>服务</item>
      </candidateList>
      <explain/>
      <paraID>43C9D373</paraID>
      <start>150</start>
      <end>152</end>
      <status>modified</status>
      <modifiedWord>服务</modifiedWord>
      <trackRevisions>false</trackRevisions>
    </reviewItem>
    <reviewItem>
      <errorID>8febc554-2a7c-4b58-912f-0762372c3984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234FBFD8</paraID>
      <start>153</start>
      <end>153</end>
      <status>modified</status>
      <modifiedWord/>
      <trackRevisions>false</trackRevisions>
    </reviewItem>
    <reviewItem>
      <errorID>8933b56c-b645-4761-8c7c-3036a0d7b8a9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234FBFD8</paraID>
      <start>154</start>
      <end>154</end>
      <status>modified</status>
      <modifiedWord/>
      <trackRevisions>false</trackRevisions>
    </reviewItem>
    <reviewItem>
      <errorID>7dfcfa92-9ab4-4851-9cc9-74af24c2c5cf</errorID>
      <errorWord>、</errorWord>
      <group>L1_Punc</group>
      <groupName>标点问题</groupName>
      <ability>L2_Punc_CN</ability>
      <abilityName>标点符号问题</abilityName>
      <candidateList>
        <item>：</item>
      </candidateList>
      <explain/>
      <paraID>7F3D008E</paraID>
      <start>3</start>
      <end>4</end>
      <status>modified</status>
      <modifiedWord>：</modifiedWord>
      <trackRevisions>false</trackRevisions>
    </reviewItem>
    <reviewItem>
      <errorID>230bb1b7-44c7-4faf-847e-02b62c5f120c</errorID>
      <errorWord>服务器与双活存储扩容配套服务</errorWord>
      <group>L1_Other</group>
      <groupName>其他问题</groupName>
      <ability>L2_Consistency</ability>
      <abilityName>一致性检查</abilityName>
      <candidateList>
        <item>服务器与存储扩容配套服务</item>
      </candidateList>
      <explain>实体一致性错误，该服务类别名称与正文原有表述不一致</explain>
      <paraID>789D309E</paraID>
      <start>0</start>
      <end>12</end>
      <status>modified</status>
      <modifiedWord>服务器与存储扩容配套服务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cd200b2c-d27c-4cae-a712-6a8dad89d17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XTC</Company>
  <Pages>3</Pages>
  <Words>1281</Words>
  <Characters>1443</Characters>
  <Lines>3</Lines>
  <Paragraphs>1</Paragraphs>
  <TotalTime>48</TotalTime>
  <ScaleCrop>false</ScaleCrop>
  <LinksUpToDate>false</LinksUpToDate>
  <CharactersWithSpaces>1469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2024-03-11T09:51:00Z</dcterms:created>
  <dc:creator>XTC</dc:creator>
  <cp:lastModifiedBy>罗昊</cp:lastModifiedBy>
  <dcterms:modified xsi:type="dcterms:W3CDTF">2026-10-08T08:53:25Z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6B613766BFB5454282CF3126DE334960_13</vt:lpwstr>
  </property>
  <property fmtid="{D5CDD505-2E9C-101B-9397-08002B2CF9AE}" pid="4" name="KSOTemplateDocerSaveRecord">
    <vt:lpwstr>eyJoZGlkIjoiODMwZWE0MjdkNmUyYzJlNjJmNTM0ODJjOTJiNjk2Y2IiLCJ1c2VySWQiOiIxODc5MTI0Mjc1In0=</vt:lpwstr>
  </property>
</Properties>
</file>