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val="en-US" w:eastAsia="zh-CN"/>
        </w:rPr>
        <w:t>上肢综合训练器</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w:t>
      </w:r>
      <w:r>
        <w:rPr>
          <w:rFonts w:hint="eastAsia" w:asciiTheme="majorEastAsia" w:hAnsiTheme="majorEastAsia" w:eastAsiaTheme="majorEastAsia"/>
          <w:b/>
          <w:sz w:val="32"/>
          <w:szCs w:val="32"/>
          <w:lang w:val="en-US" w:eastAsia="zh-CN"/>
        </w:rPr>
        <w:t>第一次</w:t>
      </w:r>
      <w:r>
        <w:rPr>
          <w:rFonts w:hint="eastAsia" w:asciiTheme="majorEastAsia" w:hAnsiTheme="majorEastAsia" w:eastAsiaTheme="majorEastAsia"/>
          <w:b/>
          <w:sz w:val="32"/>
          <w:szCs w:val="32"/>
        </w:rPr>
        <w:t>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163"/>
        <w:gridCol w:w="5192"/>
        <w:gridCol w:w="670"/>
        <w:gridCol w:w="694"/>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427" w:type="dxa"/>
            <w:gridSpan w:val="4"/>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694"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163"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5192"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670" w:type="dxa"/>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694"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163" w:type="dxa"/>
            <w:shd w:val="clear" w:color="auto" w:fill="auto"/>
            <w:vAlign w:val="center"/>
          </w:tcPr>
          <w:p w14:paraId="590AE382">
            <w:pPr>
              <w:jc w:val="center"/>
              <w:rPr>
                <w:rFonts w:hint="eastAsia"/>
                <w:sz w:val="15"/>
                <w:szCs w:val="15"/>
                <w:lang w:val="en-US" w:eastAsia="zh-CN"/>
              </w:rPr>
            </w:pPr>
          </w:p>
        </w:tc>
        <w:tc>
          <w:tcPr>
            <w:tcW w:w="5192" w:type="dxa"/>
            <w:shd w:val="clear" w:color="auto" w:fill="auto"/>
            <w:vAlign w:val="center"/>
          </w:tcPr>
          <w:p w14:paraId="754E7928">
            <w:pPr>
              <w:keepNext w:val="0"/>
              <w:keepLines w:val="0"/>
              <w:widowControl/>
              <w:suppressLineNumbers w:val="0"/>
              <w:jc w:val="center"/>
              <w:textAlignment w:val="center"/>
              <w:rPr>
                <w:rFonts w:hint="eastAsia"/>
                <w:sz w:val="15"/>
                <w:szCs w:val="15"/>
                <w:lang w:val="en-US" w:eastAsia="zh-CN"/>
              </w:rPr>
            </w:pPr>
            <w:r>
              <w:rPr>
                <w:rFonts w:hint="eastAsia"/>
                <w:sz w:val="15"/>
                <w:szCs w:val="15"/>
                <w:lang w:val="en-US" w:eastAsia="zh-CN"/>
              </w:rPr>
              <w:t>设备依托仿生运动原理，内置人体上肢生物力学矫正逻辑，可匹配人体正常上肢运动轨迹规律，针对性纠正患者异常代偿运动模式</w:t>
            </w:r>
          </w:p>
        </w:tc>
        <w:tc>
          <w:tcPr>
            <w:tcW w:w="670" w:type="dxa"/>
            <w:vAlign w:val="center"/>
          </w:tcPr>
          <w:p w14:paraId="247471E5">
            <w:pPr>
              <w:jc w:val="center"/>
              <w:rPr>
                <w:rFonts w:hint="default" w:ascii="仿宋" w:hAnsi="仿宋" w:eastAsia="仿宋" w:cs="仿宋"/>
                <w:bCs/>
                <w:sz w:val="24"/>
                <w:szCs w:val="24"/>
                <w:lang w:val="en-US" w:eastAsia="zh-CN"/>
              </w:rPr>
            </w:pPr>
          </w:p>
        </w:tc>
        <w:tc>
          <w:tcPr>
            <w:tcW w:w="694"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163" w:type="dxa"/>
            <w:shd w:val="clear" w:color="auto" w:fill="auto"/>
            <w:vAlign w:val="center"/>
          </w:tcPr>
          <w:p w14:paraId="60F13DDF">
            <w:pPr>
              <w:keepNext w:val="0"/>
              <w:keepLines w:val="0"/>
              <w:widowControl/>
              <w:suppressLineNumbers w:val="0"/>
              <w:jc w:val="center"/>
              <w:textAlignment w:val="center"/>
              <w:rPr>
                <w:rFonts w:hint="eastAsia"/>
                <w:sz w:val="15"/>
                <w:szCs w:val="15"/>
                <w:lang w:val="en-US" w:eastAsia="zh-CN"/>
              </w:rPr>
            </w:pPr>
            <w:r>
              <w:rPr>
                <w:rFonts w:hint="eastAsia"/>
                <w:sz w:val="15"/>
                <w:szCs w:val="15"/>
                <w:lang w:val="en-US" w:eastAsia="zh-CN"/>
              </w:rPr>
              <w:t>训练目标</w:t>
            </w:r>
          </w:p>
        </w:tc>
        <w:tc>
          <w:tcPr>
            <w:tcW w:w="5192" w:type="dxa"/>
            <w:shd w:val="clear" w:color="auto" w:fill="auto"/>
            <w:vAlign w:val="center"/>
          </w:tcPr>
          <w:p w14:paraId="7EC31EBF">
            <w:pPr>
              <w:jc w:val="center"/>
              <w:rPr>
                <w:rFonts w:hint="eastAsia"/>
                <w:sz w:val="15"/>
                <w:szCs w:val="15"/>
                <w:lang w:val="en-US" w:eastAsia="zh-CN"/>
              </w:rPr>
            </w:pPr>
            <w:r>
              <w:rPr>
                <w:rFonts w:hint="eastAsia"/>
                <w:sz w:val="15"/>
                <w:szCs w:val="15"/>
                <w:lang w:val="en-US" w:eastAsia="zh-CN"/>
              </w:rPr>
              <w:t>包括但不限于运动训练、认知训练、ADL训练</w:t>
            </w:r>
          </w:p>
        </w:tc>
        <w:tc>
          <w:tcPr>
            <w:tcW w:w="670" w:type="dxa"/>
            <w:vAlign w:val="center"/>
          </w:tcPr>
          <w:p w14:paraId="711CE084">
            <w:pPr>
              <w:jc w:val="center"/>
              <w:rPr>
                <w:rFonts w:hint="eastAsia" w:ascii="仿宋" w:hAnsi="仿宋" w:eastAsia="仿宋" w:cs="仿宋"/>
                <w:bCs/>
                <w:sz w:val="24"/>
                <w:szCs w:val="24"/>
              </w:rPr>
            </w:pPr>
          </w:p>
        </w:tc>
        <w:tc>
          <w:tcPr>
            <w:tcW w:w="694"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163" w:type="dxa"/>
            <w:shd w:val="clear" w:color="auto" w:fill="auto"/>
            <w:vAlign w:val="center"/>
          </w:tcPr>
          <w:p w14:paraId="15B1DA7C">
            <w:pPr>
              <w:keepNext w:val="0"/>
              <w:keepLines w:val="0"/>
              <w:widowControl/>
              <w:suppressLineNumbers w:val="0"/>
              <w:jc w:val="center"/>
              <w:textAlignment w:val="center"/>
              <w:rPr>
                <w:rFonts w:hint="eastAsia"/>
                <w:sz w:val="15"/>
                <w:szCs w:val="15"/>
                <w:lang w:val="en-US" w:eastAsia="zh-CN"/>
              </w:rPr>
            </w:pPr>
            <w:r>
              <w:rPr>
                <w:rFonts w:hint="eastAsia"/>
                <w:sz w:val="15"/>
                <w:szCs w:val="15"/>
                <w:lang w:val="en-US" w:eastAsia="zh-CN"/>
              </w:rPr>
              <w:t>训练模式</w:t>
            </w:r>
          </w:p>
        </w:tc>
        <w:tc>
          <w:tcPr>
            <w:tcW w:w="5192" w:type="dxa"/>
            <w:shd w:val="clear" w:color="auto" w:fill="auto"/>
            <w:vAlign w:val="center"/>
          </w:tcPr>
          <w:p w14:paraId="1E143C81">
            <w:pPr>
              <w:keepNext w:val="0"/>
              <w:keepLines w:val="0"/>
              <w:widowControl/>
              <w:suppressLineNumbers w:val="0"/>
              <w:jc w:val="center"/>
              <w:textAlignment w:val="center"/>
              <w:rPr>
                <w:rFonts w:hint="eastAsia"/>
                <w:sz w:val="15"/>
                <w:szCs w:val="15"/>
                <w:lang w:val="en-US" w:eastAsia="zh-CN"/>
              </w:rPr>
            </w:pPr>
            <w:r>
              <w:rPr>
                <w:rFonts w:hint="eastAsia"/>
                <w:sz w:val="15"/>
                <w:szCs w:val="15"/>
                <w:lang w:val="en-US" w:eastAsia="zh-CN"/>
              </w:rPr>
              <w:t>包括但不限于主动训练、抗阻训练</w:t>
            </w:r>
          </w:p>
        </w:tc>
        <w:tc>
          <w:tcPr>
            <w:tcW w:w="670" w:type="dxa"/>
            <w:vAlign w:val="center"/>
          </w:tcPr>
          <w:p w14:paraId="167BB1FD">
            <w:pPr>
              <w:jc w:val="center"/>
              <w:rPr>
                <w:rFonts w:hint="eastAsia" w:ascii="仿宋" w:hAnsi="仿宋" w:eastAsia="仿宋" w:cs="仿宋"/>
                <w:bCs/>
                <w:sz w:val="24"/>
                <w:szCs w:val="24"/>
              </w:rPr>
            </w:pPr>
          </w:p>
        </w:tc>
        <w:tc>
          <w:tcPr>
            <w:tcW w:w="694"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163" w:type="dxa"/>
            <w:shd w:val="clear" w:color="auto" w:fill="auto"/>
            <w:vAlign w:val="center"/>
          </w:tcPr>
          <w:p w14:paraId="493DF6FB">
            <w:pPr>
              <w:keepNext w:val="0"/>
              <w:keepLines w:val="0"/>
              <w:widowControl/>
              <w:suppressLineNumbers w:val="0"/>
              <w:jc w:val="center"/>
              <w:textAlignment w:val="center"/>
              <w:rPr>
                <w:rFonts w:hint="eastAsia"/>
                <w:sz w:val="15"/>
                <w:szCs w:val="15"/>
                <w:lang w:val="en-US" w:eastAsia="zh-CN"/>
              </w:rPr>
            </w:pPr>
            <w:r>
              <w:rPr>
                <w:rFonts w:hint="eastAsia"/>
                <w:sz w:val="15"/>
                <w:szCs w:val="15"/>
                <w:lang w:val="en-US" w:eastAsia="zh-CN"/>
              </w:rPr>
              <w:t>操作台直径</w:t>
            </w:r>
          </w:p>
        </w:tc>
        <w:tc>
          <w:tcPr>
            <w:tcW w:w="5192" w:type="dxa"/>
            <w:shd w:val="clear" w:color="auto" w:fill="auto"/>
            <w:vAlign w:val="center"/>
          </w:tcPr>
          <w:p w14:paraId="3636A008">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≥1500mm</w:t>
            </w:r>
          </w:p>
        </w:tc>
        <w:tc>
          <w:tcPr>
            <w:tcW w:w="670" w:type="dxa"/>
            <w:vAlign w:val="center"/>
          </w:tcPr>
          <w:p w14:paraId="28164C7B">
            <w:pPr>
              <w:jc w:val="center"/>
              <w:rPr>
                <w:rFonts w:hint="eastAsia" w:ascii="仿宋" w:hAnsi="仿宋" w:eastAsia="仿宋" w:cs="仿宋"/>
                <w:bCs/>
                <w:sz w:val="24"/>
                <w:szCs w:val="24"/>
              </w:rPr>
            </w:pPr>
          </w:p>
        </w:tc>
        <w:tc>
          <w:tcPr>
            <w:tcW w:w="694"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163" w:type="dxa"/>
            <w:shd w:val="clear" w:color="auto" w:fill="auto"/>
            <w:vAlign w:val="center"/>
          </w:tcPr>
          <w:p w14:paraId="0E74082A">
            <w:pPr>
              <w:keepNext w:val="0"/>
              <w:keepLines w:val="0"/>
              <w:widowControl/>
              <w:suppressLineNumbers w:val="0"/>
              <w:jc w:val="center"/>
              <w:textAlignment w:val="center"/>
              <w:rPr>
                <w:rFonts w:hint="eastAsia"/>
                <w:sz w:val="15"/>
                <w:szCs w:val="15"/>
                <w:lang w:val="en-US" w:eastAsia="zh-CN"/>
              </w:rPr>
            </w:pPr>
          </w:p>
        </w:tc>
        <w:tc>
          <w:tcPr>
            <w:tcW w:w="5192" w:type="dxa"/>
            <w:shd w:val="clear" w:color="auto" w:fill="auto"/>
            <w:vAlign w:val="center"/>
          </w:tcPr>
          <w:p w14:paraId="13D153A3">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系统融合神经康复技术理念，遵循神经可塑性康复机制，可适配不同损伤等级患者的手部神经、肌肉重塑需求，实现个体化、阶梯化康复干预</w:t>
            </w:r>
          </w:p>
        </w:tc>
        <w:tc>
          <w:tcPr>
            <w:tcW w:w="670" w:type="dxa"/>
            <w:vAlign w:val="center"/>
          </w:tcPr>
          <w:p w14:paraId="0A23FB5A">
            <w:pPr>
              <w:jc w:val="center"/>
              <w:rPr>
                <w:rFonts w:hint="eastAsia" w:ascii="仿宋" w:hAnsi="仿宋" w:eastAsia="仿宋" w:cs="仿宋"/>
                <w:bCs/>
                <w:sz w:val="24"/>
                <w:szCs w:val="24"/>
              </w:rPr>
            </w:pPr>
          </w:p>
        </w:tc>
        <w:tc>
          <w:tcPr>
            <w:tcW w:w="694"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163" w:type="dxa"/>
            <w:shd w:val="clear" w:color="auto" w:fill="auto"/>
            <w:vAlign w:val="center"/>
          </w:tcPr>
          <w:p w14:paraId="263B305F">
            <w:pPr>
              <w:keepNext w:val="0"/>
              <w:keepLines w:val="0"/>
              <w:widowControl/>
              <w:suppressLineNumbers w:val="0"/>
              <w:jc w:val="center"/>
              <w:textAlignment w:val="center"/>
              <w:rPr>
                <w:rFonts w:hint="eastAsia"/>
                <w:sz w:val="15"/>
                <w:szCs w:val="15"/>
                <w:lang w:val="en-US" w:eastAsia="zh-CN"/>
              </w:rPr>
            </w:pPr>
          </w:p>
        </w:tc>
        <w:tc>
          <w:tcPr>
            <w:tcW w:w="5192" w:type="dxa"/>
            <w:shd w:val="clear" w:color="auto" w:fill="auto"/>
            <w:vAlign w:val="center"/>
          </w:tcPr>
          <w:p w14:paraId="413601A2">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操作台可电动升降;具备实时高度显示</w:t>
            </w:r>
          </w:p>
        </w:tc>
        <w:tc>
          <w:tcPr>
            <w:tcW w:w="670" w:type="dxa"/>
            <w:vAlign w:val="center"/>
          </w:tcPr>
          <w:p w14:paraId="00A58C03">
            <w:pPr>
              <w:jc w:val="center"/>
              <w:rPr>
                <w:rFonts w:hint="eastAsia" w:ascii="仿宋" w:hAnsi="仿宋" w:eastAsia="仿宋" w:cs="仿宋"/>
                <w:bCs/>
                <w:sz w:val="24"/>
                <w:szCs w:val="24"/>
              </w:rPr>
            </w:pPr>
          </w:p>
        </w:tc>
        <w:tc>
          <w:tcPr>
            <w:tcW w:w="694"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163" w:type="dxa"/>
            <w:shd w:val="clear" w:color="auto" w:fill="auto"/>
            <w:vAlign w:val="center"/>
          </w:tcPr>
          <w:p w14:paraId="16CBDD69">
            <w:pPr>
              <w:keepNext w:val="0"/>
              <w:keepLines w:val="0"/>
              <w:widowControl/>
              <w:suppressLineNumbers w:val="0"/>
              <w:jc w:val="center"/>
              <w:textAlignment w:val="center"/>
              <w:rPr>
                <w:rFonts w:hint="eastAsia"/>
                <w:sz w:val="15"/>
                <w:szCs w:val="15"/>
                <w:lang w:val="en-US" w:eastAsia="zh-CN"/>
              </w:rPr>
            </w:pPr>
          </w:p>
        </w:tc>
        <w:tc>
          <w:tcPr>
            <w:tcW w:w="5192" w:type="dxa"/>
            <w:shd w:val="clear" w:color="auto" w:fill="auto"/>
            <w:vAlign w:val="center"/>
          </w:tcPr>
          <w:p w14:paraId="43A3ADFC">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设备移动灵活，固定稳固</w:t>
            </w:r>
          </w:p>
        </w:tc>
        <w:tc>
          <w:tcPr>
            <w:tcW w:w="670" w:type="dxa"/>
            <w:vAlign w:val="center"/>
          </w:tcPr>
          <w:p w14:paraId="1D016E50">
            <w:pPr>
              <w:jc w:val="center"/>
              <w:rPr>
                <w:rFonts w:hint="eastAsia" w:ascii="仿宋" w:hAnsi="仿宋" w:eastAsia="仿宋" w:cs="仿宋"/>
                <w:bCs/>
                <w:sz w:val="24"/>
                <w:szCs w:val="24"/>
              </w:rPr>
            </w:pPr>
          </w:p>
        </w:tc>
        <w:tc>
          <w:tcPr>
            <w:tcW w:w="694"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163" w:type="dxa"/>
            <w:shd w:val="clear" w:color="auto" w:fill="auto"/>
            <w:vAlign w:val="center"/>
          </w:tcPr>
          <w:p w14:paraId="6E3B1742">
            <w:pPr>
              <w:keepNext w:val="0"/>
              <w:keepLines w:val="0"/>
              <w:widowControl/>
              <w:suppressLineNumbers w:val="0"/>
              <w:jc w:val="center"/>
              <w:textAlignment w:val="center"/>
              <w:rPr>
                <w:rFonts w:hint="eastAsia"/>
                <w:sz w:val="15"/>
                <w:szCs w:val="15"/>
                <w:lang w:val="en-US" w:eastAsia="zh-CN"/>
              </w:rPr>
            </w:pPr>
            <w:r>
              <w:rPr>
                <w:rFonts w:hint="eastAsia"/>
                <w:sz w:val="15"/>
                <w:szCs w:val="15"/>
                <w:lang w:val="en-US" w:eastAsia="zh-CN"/>
              </w:rPr>
              <w:t>阻力等级设置</w:t>
            </w:r>
          </w:p>
        </w:tc>
        <w:tc>
          <w:tcPr>
            <w:tcW w:w="5192" w:type="dxa"/>
            <w:shd w:val="clear" w:color="auto" w:fill="auto"/>
            <w:vAlign w:val="center"/>
          </w:tcPr>
          <w:p w14:paraId="3C851DAC">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≥3种</w:t>
            </w:r>
          </w:p>
        </w:tc>
        <w:tc>
          <w:tcPr>
            <w:tcW w:w="670" w:type="dxa"/>
            <w:vAlign w:val="center"/>
          </w:tcPr>
          <w:p w14:paraId="04A007E7">
            <w:pPr>
              <w:jc w:val="center"/>
              <w:rPr>
                <w:rFonts w:hint="eastAsia" w:ascii="仿宋" w:hAnsi="仿宋" w:eastAsia="仿宋" w:cs="仿宋"/>
                <w:bCs/>
                <w:sz w:val="24"/>
                <w:szCs w:val="24"/>
              </w:rPr>
            </w:pPr>
          </w:p>
        </w:tc>
        <w:tc>
          <w:tcPr>
            <w:tcW w:w="694"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163" w:type="dxa"/>
            <w:shd w:val="clear" w:color="auto" w:fill="auto"/>
            <w:vAlign w:val="center"/>
          </w:tcPr>
          <w:p w14:paraId="68123945">
            <w:pPr>
              <w:keepNext w:val="0"/>
              <w:keepLines w:val="0"/>
              <w:widowControl/>
              <w:suppressLineNumbers w:val="0"/>
              <w:jc w:val="center"/>
              <w:textAlignment w:val="center"/>
              <w:rPr>
                <w:rFonts w:hint="eastAsia"/>
                <w:sz w:val="15"/>
                <w:szCs w:val="15"/>
                <w:lang w:val="en-US" w:eastAsia="zh-CN"/>
              </w:rPr>
            </w:pPr>
          </w:p>
        </w:tc>
        <w:tc>
          <w:tcPr>
            <w:tcW w:w="5192" w:type="dxa"/>
            <w:shd w:val="clear" w:color="auto" w:fill="auto"/>
            <w:vAlign w:val="center"/>
          </w:tcPr>
          <w:p w14:paraId="199710C0">
            <w:pPr>
              <w:keepNext w:val="0"/>
              <w:keepLines w:val="0"/>
              <w:widowControl/>
              <w:suppressLineNumbers w:val="0"/>
              <w:jc w:val="center"/>
              <w:textAlignment w:val="center"/>
              <w:rPr>
                <w:rFonts w:hint="default" w:asciiTheme="minorHAnsi" w:hAnsiTheme="minorHAnsi" w:eastAsiaTheme="minorEastAsia" w:cstheme="minorBidi"/>
                <w:kern w:val="2"/>
                <w:sz w:val="15"/>
                <w:szCs w:val="15"/>
                <w:lang w:val="en-US" w:eastAsia="zh-CN" w:bidi="ar-SA"/>
              </w:rPr>
            </w:pPr>
            <w:r>
              <w:rPr>
                <w:rFonts w:hint="eastAsia"/>
                <w:sz w:val="15"/>
                <w:szCs w:val="15"/>
                <w:lang w:val="en-US" w:eastAsia="zh-CN"/>
              </w:rPr>
              <w:t>训练组件采用金属快拆连接结构，牢固可靠</w:t>
            </w:r>
          </w:p>
        </w:tc>
        <w:tc>
          <w:tcPr>
            <w:tcW w:w="670" w:type="dxa"/>
            <w:vAlign w:val="center"/>
          </w:tcPr>
          <w:p w14:paraId="7F161ED3">
            <w:pPr>
              <w:jc w:val="center"/>
              <w:rPr>
                <w:rFonts w:hint="eastAsia" w:ascii="仿宋" w:hAnsi="仿宋" w:eastAsia="仿宋" w:cs="仿宋"/>
                <w:bCs/>
                <w:sz w:val="24"/>
                <w:szCs w:val="24"/>
              </w:rPr>
            </w:pPr>
          </w:p>
        </w:tc>
        <w:tc>
          <w:tcPr>
            <w:tcW w:w="694"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163" w:type="dxa"/>
            <w:shd w:val="clear" w:color="auto" w:fill="auto"/>
            <w:vAlign w:val="center"/>
          </w:tcPr>
          <w:p w14:paraId="26141207">
            <w:pPr>
              <w:keepNext w:val="0"/>
              <w:keepLines w:val="0"/>
              <w:widowControl/>
              <w:suppressLineNumbers w:val="0"/>
              <w:jc w:val="center"/>
              <w:textAlignment w:val="center"/>
              <w:rPr>
                <w:rFonts w:hint="eastAsia"/>
                <w:sz w:val="15"/>
                <w:szCs w:val="15"/>
                <w:lang w:val="en-US" w:eastAsia="zh-CN"/>
              </w:rPr>
            </w:pPr>
          </w:p>
        </w:tc>
        <w:tc>
          <w:tcPr>
            <w:tcW w:w="5192" w:type="dxa"/>
            <w:shd w:val="clear" w:color="auto" w:fill="auto"/>
            <w:vAlign w:val="center"/>
          </w:tcPr>
          <w:p w14:paraId="2ED8BF39">
            <w:pPr>
              <w:keepNext w:val="0"/>
              <w:keepLines w:val="0"/>
              <w:widowControl/>
              <w:suppressLineNumbers w:val="0"/>
              <w:jc w:val="center"/>
              <w:textAlignment w:val="center"/>
              <w:rPr>
                <w:rFonts w:hint="default" w:asciiTheme="minorHAnsi" w:hAnsiTheme="minorHAnsi" w:eastAsiaTheme="minorEastAsia" w:cstheme="minorBidi"/>
                <w:kern w:val="2"/>
                <w:sz w:val="15"/>
                <w:szCs w:val="15"/>
                <w:lang w:val="en-US" w:eastAsia="zh-CN" w:bidi="ar-SA"/>
              </w:rPr>
            </w:pPr>
            <w:r>
              <w:rPr>
                <w:rFonts w:hint="default"/>
                <w:sz w:val="15"/>
                <w:szCs w:val="15"/>
                <w:lang w:val="en-US" w:eastAsia="zh-CN"/>
              </w:rPr>
              <w:t>配套多种多功能训练模块，实现手部全方位康复训练</w:t>
            </w:r>
          </w:p>
        </w:tc>
        <w:tc>
          <w:tcPr>
            <w:tcW w:w="670" w:type="dxa"/>
            <w:vAlign w:val="center"/>
          </w:tcPr>
          <w:p w14:paraId="309EC2AC">
            <w:pPr>
              <w:jc w:val="center"/>
              <w:rPr>
                <w:rFonts w:hint="eastAsia" w:ascii="仿宋" w:hAnsi="仿宋" w:eastAsia="仿宋" w:cs="仿宋"/>
                <w:bCs/>
                <w:sz w:val="24"/>
                <w:szCs w:val="24"/>
              </w:rPr>
            </w:pPr>
          </w:p>
        </w:tc>
        <w:tc>
          <w:tcPr>
            <w:tcW w:w="694"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163" w:type="dxa"/>
            <w:shd w:val="clear" w:color="auto" w:fill="auto"/>
            <w:vAlign w:val="center"/>
          </w:tcPr>
          <w:p w14:paraId="2B7AF656">
            <w:pPr>
              <w:keepNext w:val="0"/>
              <w:keepLines w:val="0"/>
              <w:widowControl/>
              <w:suppressLineNumbers w:val="0"/>
              <w:jc w:val="center"/>
              <w:textAlignment w:val="center"/>
              <w:rPr>
                <w:rFonts w:hint="eastAsia"/>
                <w:sz w:val="15"/>
                <w:szCs w:val="15"/>
                <w:lang w:val="en-US" w:eastAsia="zh-CN"/>
              </w:rPr>
            </w:pPr>
          </w:p>
        </w:tc>
        <w:tc>
          <w:tcPr>
            <w:tcW w:w="5192" w:type="dxa"/>
            <w:shd w:val="clear" w:color="auto" w:fill="auto"/>
            <w:vAlign w:val="center"/>
          </w:tcPr>
          <w:p w14:paraId="4571A722">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default"/>
                <w:sz w:val="15"/>
                <w:szCs w:val="15"/>
                <w:lang w:val="en-US" w:eastAsia="zh-CN"/>
              </w:rPr>
              <w:t>显示屏</w:t>
            </w:r>
            <w:r>
              <w:rPr>
                <w:rFonts w:hint="eastAsia"/>
                <w:sz w:val="15"/>
                <w:szCs w:val="15"/>
                <w:lang w:val="en-US" w:eastAsia="zh-CN"/>
              </w:rPr>
              <w:t>≥</w:t>
            </w:r>
            <w:r>
              <w:rPr>
                <w:rFonts w:hint="default"/>
                <w:sz w:val="15"/>
                <w:szCs w:val="15"/>
                <w:lang w:val="en-US" w:eastAsia="zh-CN"/>
              </w:rPr>
              <w:t>12英寸</w:t>
            </w:r>
          </w:p>
        </w:tc>
        <w:tc>
          <w:tcPr>
            <w:tcW w:w="670" w:type="dxa"/>
            <w:vAlign w:val="center"/>
          </w:tcPr>
          <w:p w14:paraId="1FEA9546">
            <w:pPr>
              <w:jc w:val="center"/>
              <w:rPr>
                <w:rFonts w:hint="eastAsia" w:ascii="仿宋" w:hAnsi="仿宋" w:eastAsia="仿宋" w:cs="仿宋"/>
                <w:color w:val="000000"/>
                <w:kern w:val="0"/>
                <w:sz w:val="24"/>
                <w:szCs w:val="24"/>
              </w:rPr>
            </w:pPr>
          </w:p>
        </w:tc>
        <w:tc>
          <w:tcPr>
            <w:tcW w:w="694"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163" w:type="dxa"/>
            <w:shd w:val="clear" w:color="auto" w:fill="auto"/>
            <w:vAlign w:val="center"/>
          </w:tcPr>
          <w:p w14:paraId="0630F74A">
            <w:pPr>
              <w:jc w:val="center"/>
              <w:rPr>
                <w:rFonts w:hint="eastAsia"/>
                <w:sz w:val="15"/>
                <w:szCs w:val="15"/>
                <w:lang w:val="en-US" w:eastAsia="zh-CN"/>
              </w:rPr>
            </w:pPr>
          </w:p>
        </w:tc>
        <w:tc>
          <w:tcPr>
            <w:tcW w:w="5192" w:type="dxa"/>
            <w:shd w:val="clear" w:color="auto" w:fill="auto"/>
            <w:vAlign w:val="center"/>
          </w:tcPr>
          <w:p w14:paraId="6C468ADF">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default"/>
                <w:sz w:val="15"/>
                <w:szCs w:val="15"/>
                <w:lang w:val="en-US" w:eastAsia="zh-CN"/>
              </w:rPr>
              <w:t>搭载专用康复软件，包含</w:t>
            </w:r>
            <w:r>
              <w:rPr>
                <w:rFonts w:hint="eastAsia"/>
                <w:sz w:val="15"/>
                <w:szCs w:val="15"/>
                <w:lang w:val="en-US" w:eastAsia="zh-CN"/>
              </w:rPr>
              <w:t>但不限于</w:t>
            </w:r>
            <w:r>
              <w:rPr>
                <w:rFonts w:hint="default"/>
                <w:sz w:val="15"/>
                <w:szCs w:val="15"/>
                <w:lang w:val="en-US" w:eastAsia="zh-CN"/>
              </w:rPr>
              <w:t>信息管理、评估、游戏训练、报告四大功能模块</w:t>
            </w:r>
          </w:p>
        </w:tc>
        <w:tc>
          <w:tcPr>
            <w:tcW w:w="670" w:type="dxa"/>
            <w:vAlign w:val="center"/>
          </w:tcPr>
          <w:p w14:paraId="0AAF6406">
            <w:pPr>
              <w:jc w:val="center"/>
              <w:rPr>
                <w:rFonts w:hint="eastAsia" w:ascii="仿宋" w:hAnsi="仿宋" w:eastAsia="仿宋" w:cs="仿宋"/>
                <w:color w:val="000000"/>
                <w:kern w:val="0"/>
                <w:sz w:val="24"/>
                <w:szCs w:val="24"/>
              </w:rPr>
            </w:pPr>
          </w:p>
        </w:tc>
        <w:tc>
          <w:tcPr>
            <w:tcW w:w="694"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163" w:type="dxa"/>
            <w:shd w:val="clear" w:color="auto" w:fill="auto"/>
            <w:vAlign w:val="center"/>
          </w:tcPr>
          <w:p w14:paraId="1FCABB0B">
            <w:pPr>
              <w:jc w:val="center"/>
              <w:rPr>
                <w:rFonts w:hint="eastAsia"/>
                <w:sz w:val="15"/>
                <w:szCs w:val="15"/>
                <w:lang w:val="en-US" w:eastAsia="zh-CN"/>
              </w:rPr>
            </w:pPr>
            <w:r>
              <w:rPr>
                <w:rFonts w:hint="eastAsia"/>
                <w:sz w:val="15"/>
                <w:szCs w:val="15"/>
                <w:lang w:val="en-US" w:eastAsia="zh-CN"/>
              </w:rPr>
              <w:t>信息管理模块</w:t>
            </w:r>
          </w:p>
        </w:tc>
        <w:tc>
          <w:tcPr>
            <w:tcW w:w="5192" w:type="dxa"/>
            <w:shd w:val="clear" w:color="auto" w:fill="auto"/>
            <w:vAlign w:val="center"/>
          </w:tcPr>
          <w:p w14:paraId="42FC313A">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支持患者基础信息录入与管理</w:t>
            </w:r>
          </w:p>
        </w:tc>
        <w:tc>
          <w:tcPr>
            <w:tcW w:w="670" w:type="dxa"/>
            <w:vAlign w:val="center"/>
          </w:tcPr>
          <w:p w14:paraId="60764D4A">
            <w:pPr>
              <w:jc w:val="center"/>
              <w:rPr>
                <w:rFonts w:hint="eastAsia" w:ascii="仿宋" w:hAnsi="仿宋" w:eastAsia="仿宋" w:cs="仿宋"/>
                <w:color w:val="000000"/>
                <w:kern w:val="0"/>
                <w:sz w:val="24"/>
                <w:szCs w:val="24"/>
              </w:rPr>
            </w:pPr>
          </w:p>
        </w:tc>
        <w:tc>
          <w:tcPr>
            <w:tcW w:w="694"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163" w:type="dxa"/>
            <w:shd w:val="clear" w:color="auto" w:fill="auto"/>
            <w:vAlign w:val="center"/>
          </w:tcPr>
          <w:p w14:paraId="2F9FB2C7">
            <w:pPr>
              <w:jc w:val="center"/>
              <w:rPr>
                <w:rFonts w:hint="eastAsia"/>
                <w:sz w:val="15"/>
                <w:szCs w:val="15"/>
                <w:lang w:val="en-US" w:eastAsia="zh-CN"/>
              </w:rPr>
            </w:pPr>
            <w:r>
              <w:rPr>
                <w:rFonts w:hint="eastAsia"/>
                <w:sz w:val="15"/>
                <w:szCs w:val="15"/>
                <w:lang w:val="en-US" w:eastAsia="zh-CN"/>
              </w:rPr>
              <w:t>评估模块</w:t>
            </w:r>
          </w:p>
        </w:tc>
        <w:tc>
          <w:tcPr>
            <w:tcW w:w="5192" w:type="dxa"/>
            <w:shd w:val="clear" w:color="auto" w:fill="auto"/>
            <w:vAlign w:val="center"/>
          </w:tcPr>
          <w:p w14:paraId="2F53A562">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实时采集、展示康复评估数据</w:t>
            </w:r>
          </w:p>
        </w:tc>
        <w:tc>
          <w:tcPr>
            <w:tcW w:w="670" w:type="dxa"/>
            <w:vAlign w:val="center"/>
          </w:tcPr>
          <w:p w14:paraId="1815DE41">
            <w:pPr>
              <w:jc w:val="center"/>
              <w:rPr>
                <w:rFonts w:hint="eastAsia" w:ascii="仿宋" w:hAnsi="仿宋" w:eastAsia="仿宋" w:cs="仿宋"/>
                <w:color w:val="000000"/>
                <w:kern w:val="0"/>
                <w:sz w:val="24"/>
                <w:szCs w:val="24"/>
              </w:rPr>
            </w:pPr>
          </w:p>
        </w:tc>
        <w:tc>
          <w:tcPr>
            <w:tcW w:w="694"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163" w:type="dxa"/>
            <w:shd w:val="clear" w:color="auto" w:fill="auto"/>
            <w:vAlign w:val="center"/>
          </w:tcPr>
          <w:p w14:paraId="39FED130">
            <w:pPr>
              <w:jc w:val="center"/>
              <w:rPr>
                <w:rFonts w:hint="eastAsia"/>
                <w:sz w:val="15"/>
                <w:szCs w:val="15"/>
                <w:lang w:val="en-US" w:eastAsia="zh-CN"/>
              </w:rPr>
            </w:pPr>
            <w:r>
              <w:rPr>
                <w:rFonts w:hint="eastAsia"/>
                <w:sz w:val="15"/>
                <w:szCs w:val="15"/>
                <w:lang w:val="en-US" w:eastAsia="zh-CN"/>
              </w:rPr>
              <w:t>游戏训练模块</w:t>
            </w:r>
          </w:p>
        </w:tc>
        <w:tc>
          <w:tcPr>
            <w:tcW w:w="5192" w:type="dxa"/>
            <w:shd w:val="clear" w:color="auto" w:fill="auto"/>
            <w:vAlign w:val="center"/>
          </w:tcPr>
          <w:p w14:paraId="18DC13A4">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内置≥13款训练游戏，训练参数支持自定义调整</w:t>
            </w:r>
          </w:p>
        </w:tc>
        <w:tc>
          <w:tcPr>
            <w:tcW w:w="670" w:type="dxa"/>
            <w:vAlign w:val="center"/>
          </w:tcPr>
          <w:p w14:paraId="26B1FD0F">
            <w:pPr>
              <w:jc w:val="center"/>
              <w:rPr>
                <w:rFonts w:hint="eastAsia" w:ascii="仿宋" w:hAnsi="仿宋" w:eastAsia="仿宋" w:cs="仿宋"/>
                <w:color w:val="000000"/>
                <w:kern w:val="0"/>
                <w:sz w:val="24"/>
                <w:szCs w:val="24"/>
              </w:rPr>
            </w:pPr>
          </w:p>
        </w:tc>
        <w:tc>
          <w:tcPr>
            <w:tcW w:w="694"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163" w:type="dxa"/>
            <w:shd w:val="clear" w:color="auto" w:fill="auto"/>
            <w:vAlign w:val="center"/>
          </w:tcPr>
          <w:p w14:paraId="3EF84C75">
            <w:pPr>
              <w:jc w:val="center"/>
              <w:rPr>
                <w:rFonts w:hint="eastAsia"/>
                <w:sz w:val="15"/>
                <w:szCs w:val="15"/>
                <w:lang w:val="en-US" w:eastAsia="zh-CN"/>
              </w:rPr>
            </w:pPr>
            <w:r>
              <w:rPr>
                <w:rFonts w:hint="eastAsia"/>
                <w:sz w:val="15"/>
                <w:szCs w:val="15"/>
                <w:lang w:val="en-US" w:eastAsia="zh-CN"/>
              </w:rPr>
              <w:t>报告模块</w:t>
            </w:r>
          </w:p>
        </w:tc>
        <w:tc>
          <w:tcPr>
            <w:tcW w:w="5192" w:type="dxa"/>
            <w:shd w:val="clear" w:color="auto" w:fill="auto"/>
            <w:vAlign w:val="center"/>
          </w:tcPr>
          <w:p w14:paraId="7E1312E6">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系统自动生成康复报告，支持编辑、打印输出</w:t>
            </w:r>
          </w:p>
        </w:tc>
        <w:tc>
          <w:tcPr>
            <w:tcW w:w="670" w:type="dxa"/>
            <w:vAlign w:val="center"/>
          </w:tcPr>
          <w:p w14:paraId="4A0CE148">
            <w:pPr>
              <w:jc w:val="center"/>
              <w:rPr>
                <w:rFonts w:hint="eastAsia" w:ascii="仿宋" w:hAnsi="仿宋" w:eastAsia="仿宋" w:cs="仿宋"/>
                <w:color w:val="000000"/>
                <w:kern w:val="0"/>
                <w:sz w:val="24"/>
                <w:szCs w:val="24"/>
              </w:rPr>
            </w:pPr>
          </w:p>
        </w:tc>
        <w:tc>
          <w:tcPr>
            <w:tcW w:w="694"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27005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04632EC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163" w:type="dxa"/>
            <w:shd w:val="clear" w:color="auto" w:fill="auto"/>
            <w:vAlign w:val="center"/>
          </w:tcPr>
          <w:p w14:paraId="34998969">
            <w:pPr>
              <w:jc w:val="center"/>
              <w:rPr>
                <w:rFonts w:hint="eastAsia"/>
                <w:sz w:val="15"/>
                <w:szCs w:val="15"/>
                <w:lang w:val="en-US" w:eastAsia="zh-CN"/>
              </w:rPr>
            </w:pPr>
            <w:r>
              <w:rPr>
                <w:rFonts w:hint="eastAsia"/>
                <w:sz w:val="15"/>
                <w:szCs w:val="15"/>
                <w:lang w:val="en-US" w:eastAsia="zh-CN"/>
              </w:rPr>
              <w:t>设备使用年限</w:t>
            </w:r>
          </w:p>
        </w:tc>
        <w:tc>
          <w:tcPr>
            <w:tcW w:w="5192" w:type="dxa"/>
            <w:shd w:val="clear" w:color="auto" w:fill="auto"/>
            <w:vAlign w:val="center"/>
          </w:tcPr>
          <w:p w14:paraId="4252D185">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≥5年</w:t>
            </w:r>
          </w:p>
        </w:tc>
        <w:tc>
          <w:tcPr>
            <w:tcW w:w="670" w:type="dxa"/>
            <w:vAlign w:val="center"/>
          </w:tcPr>
          <w:p w14:paraId="73299931">
            <w:pPr>
              <w:jc w:val="center"/>
              <w:rPr>
                <w:rFonts w:hint="eastAsia" w:ascii="仿宋" w:hAnsi="仿宋" w:eastAsia="仿宋" w:cs="仿宋"/>
                <w:color w:val="000000"/>
                <w:kern w:val="0"/>
                <w:sz w:val="24"/>
                <w:szCs w:val="24"/>
              </w:rPr>
            </w:pPr>
          </w:p>
        </w:tc>
        <w:tc>
          <w:tcPr>
            <w:tcW w:w="694" w:type="dxa"/>
            <w:vAlign w:val="center"/>
          </w:tcPr>
          <w:p w14:paraId="26922645">
            <w:pPr>
              <w:jc w:val="center"/>
              <w:rPr>
                <w:rFonts w:hint="eastAsia" w:ascii="仿宋" w:hAnsi="仿宋" w:eastAsia="仿宋" w:cs="仿宋"/>
                <w:bCs/>
                <w:sz w:val="24"/>
                <w:szCs w:val="24"/>
              </w:rPr>
            </w:pPr>
          </w:p>
        </w:tc>
        <w:tc>
          <w:tcPr>
            <w:tcW w:w="506" w:type="dxa"/>
            <w:vAlign w:val="center"/>
          </w:tcPr>
          <w:p w14:paraId="1CCE9551">
            <w:pPr>
              <w:jc w:val="center"/>
              <w:rPr>
                <w:rFonts w:hint="eastAsia" w:ascii="仿宋" w:hAnsi="仿宋" w:eastAsia="仿宋" w:cs="仿宋"/>
                <w:bCs/>
                <w:sz w:val="24"/>
                <w:szCs w:val="24"/>
              </w:rPr>
            </w:pPr>
          </w:p>
        </w:tc>
        <w:tc>
          <w:tcPr>
            <w:tcW w:w="1018" w:type="dxa"/>
            <w:vAlign w:val="center"/>
          </w:tcPr>
          <w:p w14:paraId="5E85FE8A">
            <w:pPr>
              <w:jc w:val="center"/>
              <w:rPr>
                <w:rFonts w:hint="eastAsia" w:ascii="仿宋" w:hAnsi="仿宋" w:eastAsia="仿宋" w:cs="仿宋"/>
                <w:bCs/>
                <w:sz w:val="24"/>
                <w:szCs w:val="24"/>
              </w:rPr>
            </w:pPr>
          </w:p>
        </w:tc>
      </w:tr>
      <w:tr w14:paraId="725347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456E60">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163" w:type="dxa"/>
            <w:shd w:val="clear" w:color="auto" w:fill="auto"/>
            <w:vAlign w:val="center"/>
          </w:tcPr>
          <w:p w14:paraId="7397131F">
            <w:pPr>
              <w:jc w:val="center"/>
              <w:rPr>
                <w:rFonts w:hint="eastAsia"/>
                <w:sz w:val="15"/>
                <w:szCs w:val="15"/>
                <w:lang w:val="en-US" w:eastAsia="zh-CN"/>
              </w:rPr>
            </w:pPr>
            <w:r>
              <w:rPr>
                <w:rFonts w:hint="eastAsia"/>
                <w:sz w:val="15"/>
                <w:szCs w:val="15"/>
                <w:lang w:val="en-US" w:eastAsia="zh-CN"/>
              </w:rPr>
              <w:t>质保</w:t>
            </w:r>
          </w:p>
        </w:tc>
        <w:tc>
          <w:tcPr>
            <w:tcW w:w="5192" w:type="dxa"/>
            <w:shd w:val="clear" w:color="auto" w:fill="auto"/>
            <w:vAlign w:val="center"/>
          </w:tcPr>
          <w:p w14:paraId="742A3C91">
            <w:pPr>
              <w:keepNext w:val="0"/>
              <w:keepLines w:val="0"/>
              <w:widowControl/>
              <w:suppressLineNumbers w:val="0"/>
              <w:jc w:val="center"/>
              <w:textAlignment w:val="center"/>
              <w:rPr>
                <w:rFonts w:hint="eastAsia" w:asciiTheme="minorHAnsi" w:hAnsiTheme="minorHAnsi" w:eastAsiaTheme="minorEastAsia" w:cstheme="minorBidi"/>
                <w:kern w:val="2"/>
                <w:sz w:val="15"/>
                <w:szCs w:val="15"/>
                <w:lang w:val="en-US" w:eastAsia="zh-CN" w:bidi="ar-SA"/>
              </w:rPr>
            </w:pPr>
            <w:r>
              <w:rPr>
                <w:rFonts w:hint="eastAsia"/>
                <w:sz w:val="15"/>
                <w:szCs w:val="15"/>
                <w:lang w:val="en-US" w:eastAsia="zh-CN"/>
              </w:rPr>
              <w:t>3年</w:t>
            </w:r>
            <w:bookmarkStart w:id="0" w:name="_GoBack"/>
            <w:bookmarkEnd w:id="0"/>
          </w:p>
        </w:tc>
        <w:tc>
          <w:tcPr>
            <w:tcW w:w="670" w:type="dxa"/>
            <w:vAlign w:val="center"/>
          </w:tcPr>
          <w:p w14:paraId="764BEC05">
            <w:pPr>
              <w:jc w:val="center"/>
              <w:rPr>
                <w:rFonts w:hint="eastAsia" w:ascii="仿宋" w:hAnsi="仿宋" w:eastAsia="仿宋" w:cs="仿宋"/>
                <w:color w:val="000000"/>
                <w:kern w:val="0"/>
                <w:sz w:val="24"/>
                <w:szCs w:val="24"/>
              </w:rPr>
            </w:pPr>
          </w:p>
        </w:tc>
        <w:tc>
          <w:tcPr>
            <w:tcW w:w="694" w:type="dxa"/>
            <w:vAlign w:val="center"/>
          </w:tcPr>
          <w:p w14:paraId="4799EC55">
            <w:pPr>
              <w:jc w:val="center"/>
              <w:rPr>
                <w:rFonts w:hint="eastAsia" w:ascii="仿宋" w:hAnsi="仿宋" w:eastAsia="仿宋" w:cs="仿宋"/>
                <w:bCs/>
                <w:sz w:val="24"/>
                <w:szCs w:val="24"/>
              </w:rPr>
            </w:pPr>
          </w:p>
        </w:tc>
        <w:tc>
          <w:tcPr>
            <w:tcW w:w="506" w:type="dxa"/>
            <w:vAlign w:val="center"/>
          </w:tcPr>
          <w:p w14:paraId="13F52553">
            <w:pPr>
              <w:jc w:val="center"/>
              <w:rPr>
                <w:rFonts w:hint="eastAsia" w:ascii="仿宋" w:hAnsi="仿宋" w:eastAsia="仿宋" w:cs="仿宋"/>
                <w:bCs/>
                <w:sz w:val="24"/>
                <w:szCs w:val="24"/>
              </w:rPr>
            </w:pPr>
          </w:p>
        </w:tc>
        <w:tc>
          <w:tcPr>
            <w:tcW w:w="1018" w:type="dxa"/>
            <w:vAlign w:val="center"/>
          </w:tcPr>
          <w:p w14:paraId="219AFF74">
            <w:pPr>
              <w:jc w:val="center"/>
              <w:rPr>
                <w:rFonts w:hint="eastAsia" w:ascii="仿宋" w:hAnsi="仿宋" w:eastAsia="仿宋" w:cs="仿宋"/>
                <w:bCs/>
                <w:sz w:val="24"/>
                <w:szCs w:val="24"/>
              </w:rPr>
            </w:pPr>
          </w:p>
        </w:tc>
      </w:tr>
    </w:tbl>
    <w:p w14:paraId="7D682442">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02278B"/>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A66C6"/>
    <w:rsid w:val="080C3738"/>
    <w:rsid w:val="081F2DB2"/>
    <w:rsid w:val="086253B7"/>
    <w:rsid w:val="086504F8"/>
    <w:rsid w:val="091329AD"/>
    <w:rsid w:val="09135C29"/>
    <w:rsid w:val="09851C87"/>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E21B65"/>
    <w:rsid w:val="17FA25E5"/>
    <w:rsid w:val="1899778B"/>
    <w:rsid w:val="18C15D96"/>
    <w:rsid w:val="18D4649C"/>
    <w:rsid w:val="18D56FD4"/>
    <w:rsid w:val="191C10A7"/>
    <w:rsid w:val="193F0899"/>
    <w:rsid w:val="1A0260CE"/>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A379DD"/>
    <w:rsid w:val="23EE25BB"/>
    <w:rsid w:val="23F938FE"/>
    <w:rsid w:val="245031CC"/>
    <w:rsid w:val="25052E0F"/>
    <w:rsid w:val="253B3AAA"/>
    <w:rsid w:val="25552E7D"/>
    <w:rsid w:val="25720D38"/>
    <w:rsid w:val="25CB2A80"/>
    <w:rsid w:val="25E05DF6"/>
    <w:rsid w:val="263225F6"/>
    <w:rsid w:val="2636723F"/>
    <w:rsid w:val="264C318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30042440"/>
    <w:rsid w:val="30467FFD"/>
    <w:rsid w:val="3069004A"/>
    <w:rsid w:val="30696528"/>
    <w:rsid w:val="30716F06"/>
    <w:rsid w:val="30733FBE"/>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091347"/>
    <w:rsid w:val="5719718C"/>
    <w:rsid w:val="576F4F06"/>
    <w:rsid w:val="577D0987"/>
    <w:rsid w:val="58780095"/>
    <w:rsid w:val="589A6CDC"/>
    <w:rsid w:val="58F451C8"/>
    <w:rsid w:val="59644345"/>
    <w:rsid w:val="5988027B"/>
    <w:rsid w:val="599704D6"/>
    <w:rsid w:val="5B1220CD"/>
    <w:rsid w:val="5B2F00AD"/>
    <w:rsid w:val="5B2F1CB7"/>
    <w:rsid w:val="5BF92FB6"/>
    <w:rsid w:val="5C207A49"/>
    <w:rsid w:val="5C451348"/>
    <w:rsid w:val="5C6E4D42"/>
    <w:rsid w:val="5D40525F"/>
    <w:rsid w:val="5DC934C7"/>
    <w:rsid w:val="5DE61BB4"/>
    <w:rsid w:val="5DE921E3"/>
    <w:rsid w:val="5DF009C2"/>
    <w:rsid w:val="5E025F34"/>
    <w:rsid w:val="5E5B76CA"/>
    <w:rsid w:val="5E6957E0"/>
    <w:rsid w:val="5EAF49FF"/>
    <w:rsid w:val="5EB005A8"/>
    <w:rsid w:val="5EB409B0"/>
    <w:rsid w:val="5ED457C4"/>
    <w:rsid w:val="5F36302E"/>
    <w:rsid w:val="5F5D4F94"/>
    <w:rsid w:val="5F8D7DD2"/>
    <w:rsid w:val="600E2F0E"/>
    <w:rsid w:val="60A0128E"/>
    <w:rsid w:val="60CC64DC"/>
    <w:rsid w:val="613D6F0C"/>
    <w:rsid w:val="61563EDB"/>
    <w:rsid w:val="61606110"/>
    <w:rsid w:val="616B2C59"/>
    <w:rsid w:val="618B5A4F"/>
    <w:rsid w:val="61C35ECC"/>
    <w:rsid w:val="6200624D"/>
    <w:rsid w:val="622412A8"/>
    <w:rsid w:val="624152A8"/>
    <w:rsid w:val="62717F29"/>
    <w:rsid w:val="62735148"/>
    <w:rsid w:val="62C959F4"/>
    <w:rsid w:val="6431737D"/>
    <w:rsid w:val="64491E06"/>
    <w:rsid w:val="64BE2ABE"/>
    <w:rsid w:val="65351D88"/>
    <w:rsid w:val="653D28FB"/>
    <w:rsid w:val="653F0AED"/>
    <w:rsid w:val="65483BE2"/>
    <w:rsid w:val="65BB2EF6"/>
    <w:rsid w:val="65D82B19"/>
    <w:rsid w:val="65F32E35"/>
    <w:rsid w:val="666E3111"/>
    <w:rsid w:val="66A20F66"/>
    <w:rsid w:val="66A7157D"/>
    <w:rsid w:val="66B90AD6"/>
    <w:rsid w:val="66F34A45"/>
    <w:rsid w:val="67096872"/>
    <w:rsid w:val="672166AA"/>
    <w:rsid w:val="673F51FA"/>
    <w:rsid w:val="674F3049"/>
    <w:rsid w:val="67510950"/>
    <w:rsid w:val="67BE4224"/>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759</Words>
  <Characters>781</Characters>
  <Lines>43</Lines>
  <Paragraphs>12</Paragraphs>
  <TotalTime>1</TotalTime>
  <ScaleCrop>false</ScaleCrop>
  <LinksUpToDate>false</LinksUpToDate>
  <CharactersWithSpaces>1354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2026-09-23T07:06:34Z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