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附件：拟购霍邱县第六人民医院（六安市中医院马店院区）国家传染病智能检测预警前置软件配套项目（第二次）初步参数论证征集意见表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6"/>
          <w:rFonts w:hint="eastAsia" w:ascii="仿宋" w:hAnsi="仿宋" w:eastAsia="仿宋" w:cs="仿宋"/>
          <w:b w:val="0"/>
          <w:bCs/>
          <w:color w:val="auto"/>
          <w:sz w:val="21"/>
          <w:szCs w:val="21"/>
          <w:lang w:eastAsia="zh-CN"/>
        </w:rPr>
        <w:t>具备</w:t>
      </w:r>
      <w:r>
        <w:rPr>
          <w:rStyle w:val="16"/>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69E44DF1">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lang w:val="en-US" w:eastAsia="zh-CN"/>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6"/>
          <w:rFonts w:hint="eastAsia" w:ascii="仿宋" w:hAnsi="仿宋" w:eastAsia="仿宋" w:cs="仿宋"/>
          <w:b/>
          <w:bCs w:val="0"/>
          <w:color w:val="auto"/>
          <w:sz w:val="21"/>
          <w:szCs w:val="21"/>
          <w:lang w:eastAsia="zh-CN"/>
        </w:rPr>
        <w:t>或具备</w:t>
      </w:r>
      <w:r>
        <w:rPr>
          <w:rStyle w:val="16"/>
          <w:rFonts w:hint="eastAsia" w:ascii="仿宋" w:hAnsi="仿宋" w:eastAsia="仿宋" w:cs="仿宋"/>
          <w:b/>
          <w:bCs w:val="0"/>
          <w:color w:val="auto"/>
          <w:sz w:val="21"/>
          <w:szCs w:val="21"/>
          <w:lang w:val="en-US" w:eastAsia="zh-CN"/>
        </w:rPr>
        <w:t>CMA【或CNAS】资质检测机构）</w:t>
      </w:r>
      <w:r>
        <w:rPr>
          <w:rStyle w:val="16"/>
          <w:rFonts w:hint="eastAsia" w:ascii="仿宋" w:hAnsi="仿宋" w:eastAsia="仿宋" w:cs="仿宋"/>
          <w:b w:val="0"/>
          <w:bCs/>
          <w:color w:val="auto"/>
          <w:sz w:val="21"/>
          <w:szCs w:val="21"/>
          <w:lang w:val="en-US" w:eastAsia="zh-CN"/>
        </w:rPr>
        <w:t>出具的</w:t>
      </w:r>
      <w:r>
        <w:rPr>
          <w:rStyle w:val="16"/>
          <w:rFonts w:hint="eastAsia" w:ascii="仿宋" w:hAnsi="仿宋" w:eastAsia="仿宋" w:cs="仿宋"/>
          <w:b w:val="0"/>
          <w:bCs/>
          <w:color w:val="auto"/>
          <w:sz w:val="21"/>
          <w:szCs w:val="21"/>
        </w:rPr>
        <w:t>质检报告原件扫描件</w:t>
      </w:r>
      <w:r>
        <w:rPr>
          <w:rStyle w:val="16"/>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6"/>
          <w:rFonts w:hint="eastAsia" w:ascii="仿宋" w:hAnsi="仿宋" w:eastAsia="仿宋" w:cs="仿宋"/>
          <w:b w:val="0"/>
          <w:bCs/>
          <w:color w:val="auto"/>
          <w:sz w:val="21"/>
          <w:szCs w:val="21"/>
        </w:rPr>
        <w:t>食药监局</w:t>
      </w:r>
      <w:r>
        <w:rPr>
          <w:rStyle w:val="16"/>
          <w:rFonts w:hint="eastAsia" w:ascii="仿宋" w:hAnsi="仿宋" w:eastAsia="仿宋" w:cs="仿宋"/>
          <w:b w:val="0"/>
          <w:bCs/>
          <w:color w:val="auto"/>
          <w:sz w:val="21"/>
          <w:szCs w:val="21"/>
          <w:lang w:eastAsia="zh-CN"/>
        </w:rPr>
        <w:t>或</w:t>
      </w:r>
      <w:r>
        <w:rPr>
          <w:rStyle w:val="16"/>
          <w:rFonts w:hint="eastAsia" w:ascii="仿宋" w:hAnsi="仿宋" w:eastAsia="仿宋" w:cs="仿宋"/>
          <w:b w:val="0"/>
          <w:bCs/>
          <w:color w:val="auto"/>
          <w:sz w:val="21"/>
          <w:szCs w:val="21"/>
        </w:rPr>
        <w:t>其下属单位</w:t>
      </w:r>
      <w:r>
        <w:rPr>
          <w:rStyle w:val="16"/>
          <w:rFonts w:hint="eastAsia" w:ascii="仿宋" w:hAnsi="仿宋" w:eastAsia="仿宋" w:cs="仿宋"/>
          <w:b w:val="0"/>
          <w:bCs/>
          <w:color w:val="auto"/>
          <w:sz w:val="21"/>
          <w:szCs w:val="21"/>
          <w:lang w:eastAsia="zh-CN"/>
        </w:rPr>
        <w:t>或省级医疗器械检验机构或省级食品药品检验机构等）。</w:t>
      </w:r>
    </w:p>
    <w:p w14:paraId="2C0E6202">
      <w:pPr>
        <w:spacing w:line="320" w:lineRule="exact"/>
        <w:rPr>
          <w:rFonts w:hint="eastAsia" w:asciiTheme="minorEastAsia" w:hAnsiTheme="minorEastAsia" w:eastAsiaTheme="minorEastAsia" w:cstheme="minorEastAsia"/>
          <w:b w:val="0"/>
          <w:bCs/>
          <w:szCs w:val="21"/>
          <w:lang w:eastAsia="zh-CN"/>
        </w:rPr>
      </w:pPr>
      <w:r>
        <w:rPr>
          <w:rFonts w:hint="eastAsia" w:ascii="仿宋" w:hAnsi="仿宋" w:eastAsia="仿宋"/>
          <w:b/>
          <w:szCs w:val="21"/>
          <w:lang w:val="en-US" w:eastAsia="zh-CN"/>
        </w:rPr>
        <w:t>附件</w:t>
      </w:r>
      <w:r>
        <w:rPr>
          <w:rFonts w:hint="eastAsia" w:ascii="仿宋" w:hAnsi="仿宋" w:eastAsia="仿宋"/>
          <w:b/>
          <w:szCs w:val="21"/>
        </w:rPr>
        <w:t>：拟购项目初步参数结构</w:t>
      </w:r>
    </w:p>
    <w:tbl>
      <w:tblPr>
        <w:tblStyle w:val="8"/>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179"/>
        <w:gridCol w:w="4278"/>
        <w:gridCol w:w="785"/>
        <w:gridCol w:w="861"/>
        <w:gridCol w:w="1034"/>
        <w:gridCol w:w="1031"/>
      </w:tblGrid>
      <w:tr w14:paraId="3F11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6" w:type="dxa"/>
            <w:gridSpan w:val="4"/>
            <w:tcBorders>
              <w:top w:val="single" w:color="auto" w:sz="4" w:space="0"/>
              <w:left w:val="single" w:color="auto" w:sz="4" w:space="0"/>
              <w:bottom w:val="single" w:color="auto" w:sz="4" w:space="0"/>
              <w:right w:val="single" w:color="auto" w:sz="4" w:space="0"/>
            </w:tcBorders>
            <w:noWrap w:val="0"/>
            <w:vAlign w:val="center"/>
          </w:tcPr>
          <w:p w14:paraId="78D8EA3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本项目初步参数拟设置情况</w:t>
            </w:r>
          </w:p>
        </w:tc>
        <w:tc>
          <w:tcPr>
            <w:tcW w:w="861" w:type="dxa"/>
            <w:vMerge w:val="restart"/>
            <w:tcBorders>
              <w:top w:val="single" w:color="auto" w:sz="4" w:space="0"/>
              <w:left w:val="single" w:color="auto" w:sz="4" w:space="0"/>
              <w:right w:val="single" w:color="auto" w:sz="4" w:space="0"/>
            </w:tcBorders>
            <w:noWrap w:val="0"/>
            <w:vAlign w:val="center"/>
          </w:tcPr>
          <w:p w14:paraId="4CC6995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1034" w:type="dxa"/>
            <w:vMerge w:val="restart"/>
            <w:tcBorders>
              <w:top w:val="single" w:color="auto" w:sz="4" w:space="0"/>
              <w:left w:val="single" w:color="auto" w:sz="4" w:space="0"/>
              <w:right w:val="single" w:color="auto" w:sz="4" w:space="0"/>
            </w:tcBorders>
            <w:noWrap w:val="0"/>
            <w:vAlign w:val="center"/>
          </w:tcPr>
          <w:p w14:paraId="000FE750">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建议修改指标</w:t>
            </w:r>
          </w:p>
        </w:tc>
        <w:tc>
          <w:tcPr>
            <w:tcW w:w="1031" w:type="dxa"/>
            <w:vMerge w:val="restart"/>
            <w:tcBorders>
              <w:top w:val="single" w:color="auto" w:sz="4" w:space="0"/>
              <w:left w:val="single" w:color="auto" w:sz="4" w:space="0"/>
              <w:right w:val="single" w:color="auto" w:sz="4" w:space="0"/>
            </w:tcBorders>
            <w:noWrap w:val="0"/>
            <w:vAlign w:val="center"/>
          </w:tcPr>
          <w:p w14:paraId="26C2F43A">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备注（真实指标、是否独家、是否提供有效检测报告）</w:t>
            </w:r>
          </w:p>
        </w:tc>
      </w:tr>
      <w:tr w14:paraId="3E1F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5843AEF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序号</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B36F683">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系统模块</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6939BB3">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初步参数设置情况</w:t>
            </w:r>
          </w:p>
        </w:tc>
        <w:tc>
          <w:tcPr>
            <w:tcW w:w="785" w:type="dxa"/>
            <w:tcBorders>
              <w:top w:val="single" w:color="auto" w:sz="4" w:space="0"/>
              <w:left w:val="single" w:color="auto" w:sz="4" w:space="0"/>
              <w:bottom w:val="single" w:color="auto" w:sz="4" w:space="0"/>
              <w:right w:val="single" w:color="auto" w:sz="4" w:space="0"/>
            </w:tcBorders>
            <w:noWrap w:val="0"/>
            <w:vAlign w:val="top"/>
          </w:tcPr>
          <w:p w14:paraId="4E2CD854">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是否设置为为★</w:t>
            </w:r>
          </w:p>
        </w:tc>
        <w:tc>
          <w:tcPr>
            <w:tcW w:w="861" w:type="dxa"/>
            <w:vMerge w:val="continue"/>
            <w:tcBorders>
              <w:left w:val="single" w:color="auto" w:sz="4" w:space="0"/>
              <w:right w:val="single" w:color="auto" w:sz="4" w:space="0"/>
            </w:tcBorders>
            <w:noWrap w:val="0"/>
            <w:vAlign w:val="center"/>
          </w:tcPr>
          <w:p w14:paraId="36A596C2">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4" w:type="dxa"/>
            <w:vMerge w:val="continue"/>
            <w:tcBorders>
              <w:left w:val="single" w:color="auto" w:sz="4" w:space="0"/>
              <w:right w:val="single" w:color="auto" w:sz="4" w:space="0"/>
            </w:tcBorders>
            <w:noWrap w:val="0"/>
            <w:vAlign w:val="center"/>
          </w:tcPr>
          <w:p w14:paraId="4E66F3B1">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c>
          <w:tcPr>
            <w:tcW w:w="1031" w:type="dxa"/>
            <w:vMerge w:val="continue"/>
            <w:tcBorders>
              <w:left w:val="single" w:color="auto" w:sz="4" w:space="0"/>
              <w:right w:val="single" w:color="auto" w:sz="4" w:space="0"/>
            </w:tcBorders>
            <w:noWrap w:val="0"/>
            <w:vAlign w:val="center"/>
          </w:tcPr>
          <w:p w14:paraId="079D189C">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p>
        </w:tc>
      </w:tr>
      <w:tr w14:paraId="6997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6E8F930C">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CA5395D">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imes New Roman"/>
                <w:bCs/>
                <w:kern w:val="2"/>
                <w:sz w:val="21"/>
                <w:szCs w:val="21"/>
                <w:lang w:val="en-US" w:eastAsia="zh-CN" w:bidi="ar-SA"/>
              </w:rPr>
              <w:t>前置服务器</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299928C6">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1、采用国产自研ARM架构CPU，CPU核数≥48个物理核，主频≥2.6GHz，配备冗余电源； </w:t>
            </w:r>
          </w:p>
          <w:p w14:paraId="0466CEF7">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2、内存≥32GB*4；</w:t>
            </w:r>
          </w:p>
          <w:p w14:paraId="4E7BE271">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3、配置1张千兆电口网卡+1张万兆光口网卡；</w:t>
            </w:r>
          </w:p>
          <w:p w14:paraId="6B6D413E">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 xml:space="preserve">4、存储介质：SSD；实际可用存储容量&gt;1T；RAID模式：RAID1； </w:t>
            </w:r>
          </w:p>
          <w:p w14:paraId="1231BCD6">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5、配置 OpenGauss 5.0.0 及以上或者是同等架构的数据库；</w:t>
            </w:r>
          </w:p>
          <w:p w14:paraId="098D7DFD">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6、建议使用欧拉、麒麟、统信等国产操作系统的服务器版；</w:t>
            </w:r>
          </w:p>
          <w:p w14:paraId="5601CEB1">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7、为满足医院后续业务发展需要，需支持通过License扩展相关虚拟化套件；</w:t>
            </w:r>
          </w:p>
          <w:p w14:paraId="44CB6B47">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8、提供产品制造厂商三年产品质保。（提供原厂售后服务承诺函）</w:t>
            </w:r>
          </w:p>
        </w:tc>
        <w:tc>
          <w:tcPr>
            <w:tcW w:w="785" w:type="dxa"/>
            <w:tcBorders>
              <w:top w:val="single" w:color="auto" w:sz="4" w:space="0"/>
              <w:left w:val="single" w:color="auto" w:sz="4" w:space="0"/>
              <w:bottom w:val="single" w:color="auto" w:sz="4" w:space="0"/>
              <w:right w:val="single" w:color="auto" w:sz="4" w:space="0"/>
            </w:tcBorders>
            <w:noWrap w:val="0"/>
            <w:vAlign w:val="center"/>
          </w:tcPr>
          <w:p w14:paraId="06A59CEB">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74901F4B">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26C1834C">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center"/>
          </w:tcPr>
          <w:p w14:paraId="58F5F89C">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r>
      <w:tr w14:paraId="653E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3C35676B">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3F6B3A1E">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szCs w:val="21"/>
                <w:lang w:val="en-US" w:eastAsia="zh-CN"/>
              </w:rPr>
              <w:t>安全网关</w:t>
            </w:r>
          </w:p>
        </w:tc>
        <w:tc>
          <w:tcPr>
            <w:tcW w:w="4278" w:type="dxa"/>
            <w:tcBorders>
              <w:top w:val="single" w:color="auto" w:sz="4" w:space="0"/>
              <w:left w:val="single" w:color="auto" w:sz="4" w:space="0"/>
              <w:bottom w:val="single" w:color="auto" w:sz="4" w:space="0"/>
              <w:right w:val="single" w:color="auto" w:sz="4" w:space="0"/>
            </w:tcBorders>
            <w:noWrap w:val="0"/>
            <w:vAlign w:val="top"/>
          </w:tcPr>
          <w:p w14:paraId="4D0717F9">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1、1U机架式设备，配置固态硬盘，吞吐性能≥3Gbps，IPSEC VPN可加密性能（SM3+SM4）≥200Mbps，VPN隧道数≥50，接口≥6千兆电口，三年质保；</w:t>
            </w:r>
          </w:p>
          <w:p w14:paraId="07CA1900">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2、支持安全策略有效性分析功能，分析内容至少包括策略冗余分析、策略匹配分析、风险端口风险等内容，提供安全策略优化建议；</w:t>
            </w:r>
          </w:p>
          <w:p w14:paraId="0203BBBD">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3、内置百万级病毒特征库，支持对HTTP、FTP、IMAP、POP3、SMTP协议病毒的查杀；</w:t>
            </w:r>
          </w:p>
          <w:p w14:paraId="1BAE8ABF">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4、具备专门的勒索病毒防护功能块，区别于常规的防病毒功能，能够对特定业务进行勒索风险的自动化评估，并依据这些评估结果智能地制定防护策略；</w:t>
            </w:r>
          </w:p>
          <w:p w14:paraId="7635FBA4">
            <w:pPr>
              <w:jc w:val="left"/>
              <w:rPr>
                <w:rFonts w:hint="eastAsia"/>
                <w:lang w:val="en-US" w:eastAsia="zh-CN"/>
              </w:rPr>
            </w:pPr>
            <w:r>
              <w:rPr>
                <w:rFonts w:hint="eastAsia" w:ascii="仿宋" w:hAnsi="仿宋" w:eastAsia="仿宋" w:cstheme="minorBidi"/>
                <w:bCs/>
                <w:kern w:val="2"/>
                <w:sz w:val="21"/>
                <w:szCs w:val="21"/>
                <w:lang w:val="en-US" w:eastAsia="zh-CN" w:bidi="ar-SA"/>
              </w:rPr>
              <w:t>5、内置不低于13000种漏洞规则，同时支持在控制台界面通过漏洞ID、漏洞名称、危险等级、漏洞CVE标识、漏洞描述等条件查询漏洞特征信息，支持用户自定义IPS规则；</w:t>
            </w:r>
          </w:p>
          <w:p w14:paraId="22601B3E">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6、支持服务器漏洞防扫描功能，并对扫描源IP进行日志记录和联动封锁；</w:t>
            </w:r>
          </w:p>
          <w:p w14:paraId="28A8C7DD">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7、支持策略生命周期管理功能，支持对安全策略修改的时间、原因、变更类型进行统一管理，便于策略的运维与管理；</w:t>
            </w:r>
          </w:p>
          <w:p w14:paraId="68C2C25E">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8、实现安徽省食源性疾病报告系统、国家传染病监测预警系统等与疾控专用网络的互联互通，保障数据的实时、高效传输。通过无缝替换现有的VPN客户端方式完成，极大增强网络传输的安全可靠性；</w:t>
            </w:r>
          </w:p>
          <w:p w14:paraId="23713D1A">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9、支持3种以上的用户认证方式,包含但不限于单点登录、本地账号密码、外部账号密码认证；</w:t>
            </w:r>
          </w:p>
          <w:p w14:paraId="07598B7F">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10、支持多项安全功能，包括链路状态检测、流量管理控制、防DDoS（拒绝服务）攻击机制、文件过滤、IPSEC VPN加密连接；</w:t>
            </w:r>
          </w:p>
          <w:p w14:paraId="4EAF0DB2">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11、支持路由类型、协议类型、网络对象、国家地区等条件进行自动选路的策略路由，支持不少于3种的调度算法，至少包括带宽比例、加权流量、线路优先等；</w:t>
            </w:r>
          </w:p>
          <w:p w14:paraId="64064DBB">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12、支持对压缩病毒文件进行检测和拦截，压缩层数支持15层及以上；</w:t>
            </w:r>
          </w:p>
          <w:p w14:paraId="7265C254">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13、支持用户账号全生命周期保护功能，包括用户账号多余入口检测、用户账号弱口令检测、用户账号暴力破解检测、失陷账号检测，防止因账号被暴力破解导致的非法提权情况发生；</w:t>
            </w:r>
          </w:p>
          <w:p w14:paraId="6D9BD19D">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14、支持Cookie攻击防护功能，并通过日志记录Cookie被篡改；（提供功能截图证明和提供第三方机构检测报告证明，至少包含报告首页，对应功能测试页和报告尾页）</w:t>
            </w:r>
          </w:p>
          <w:p w14:paraId="7298285E">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15、提供三年7*24H的技术人员线上远程服务；</w:t>
            </w:r>
          </w:p>
          <w:p w14:paraId="6F9E497B">
            <w:pPr>
              <w:jc w:val="left"/>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16、本设备能够同时确保前置软件所连接的VPN备用网络与电子政务外网之间的融合与畅通，以维持疫情报告的稳定性。若医疗机构的前置软件发生故障并持续1小时无法正常运作，其可利用防火墙功能将网络连接切换至VPN备用网络，以便及时提交疫情报告。</w:t>
            </w:r>
            <w:bookmarkStart w:id="0" w:name="_GoBack"/>
            <w:bookmarkEnd w:id="0"/>
          </w:p>
        </w:tc>
        <w:tc>
          <w:tcPr>
            <w:tcW w:w="785" w:type="dxa"/>
            <w:tcBorders>
              <w:top w:val="single" w:color="auto" w:sz="4" w:space="0"/>
              <w:left w:val="single" w:color="auto" w:sz="4" w:space="0"/>
              <w:bottom w:val="single" w:color="auto" w:sz="4" w:space="0"/>
              <w:right w:val="single" w:color="auto" w:sz="4" w:space="0"/>
            </w:tcBorders>
            <w:noWrap w:val="0"/>
            <w:vAlign w:val="center"/>
          </w:tcPr>
          <w:p w14:paraId="4AF61D26">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1D88726A">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39ACE34D">
            <w:pPr>
              <w:pStyle w:val="17"/>
              <w:widowControl/>
              <w:kinsoku w:val="0"/>
              <w:overflowPunct w:val="0"/>
              <w:spacing w:line="400" w:lineRule="exact"/>
              <w:jc w:val="both"/>
              <w:rPr>
                <w:rFonts w:hint="default"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center"/>
          </w:tcPr>
          <w:p w14:paraId="58E9B231">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r>
      <w:tr w14:paraId="7D22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684" w:type="dxa"/>
            <w:tcBorders>
              <w:top w:val="single" w:color="auto" w:sz="4" w:space="0"/>
              <w:left w:val="single" w:color="auto" w:sz="4" w:space="0"/>
              <w:bottom w:val="single" w:color="auto" w:sz="4" w:space="0"/>
              <w:right w:val="single" w:color="auto" w:sz="4" w:space="0"/>
            </w:tcBorders>
            <w:noWrap w:val="0"/>
            <w:vAlign w:val="center"/>
          </w:tcPr>
          <w:p w14:paraId="05B7C18F">
            <w:pPr>
              <w:pStyle w:val="17"/>
              <w:widowControl/>
              <w:kinsoku w:val="0"/>
              <w:overflowPunct w:val="0"/>
              <w:spacing w:line="400" w:lineRule="exact"/>
              <w:rPr>
                <w:rFonts w:hint="default"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3</w:t>
            </w: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D186EB7">
            <w:pPr>
              <w:pStyle w:val="17"/>
              <w:widowControl/>
              <w:kinsoku w:val="0"/>
              <w:overflowPunct w:val="0"/>
              <w:spacing w:line="400" w:lineRule="exact"/>
              <w:jc w:val="center"/>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集成服务</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A63651E">
            <w:pPr>
              <w:jc w:val="left"/>
              <w:rPr>
                <w:rFonts w:hint="eastAsia" w:ascii="仿宋" w:hAnsi="仿宋" w:eastAsia="仿宋" w:cs="Times New Roman"/>
                <w:bCs/>
                <w:szCs w:val="21"/>
                <w:lang w:val="en-US" w:eastAsia="zh-CN"/>
              </w:rPr>
            </w:pPr>
            <w:r>
              <w:rPr>
                <w:rFonts w:hint="eastAsia" w:ascii="仿宋" w:hAnsi="仿宋" w:eastAsia="仿宋" w:cs="Times New Roman"/>
                <w:bCs/>
                <w:szCs w:val="21"/>
                <w:lang w:val="en-US" w:eastAsia="zh-CN"/>
              </w:rPr>
              <w:t>服务内容包含但不限于：安装调试服务、配合软件部署服务、技术支持服务等</w:t>
            </w:r>
          </w:p>
        </w:tc>
        <w:tc>
          <w:tcPr>
            <w:tcW w:w="785" w:type="dxa"/>
            <w:tcBorders>
              <w:top w:val="single" w:color="auto" w:sz="4" w:space="0"/>
              <w:left w:val="single" w:color="auto" w:sz="4" w:space="0"/>
              <w:bottom w:val="single" w:color="auto" w:sz="4" w:space="0"/>
              <w:right w:val="single" w:color="auto" w:sz="4" w:space="0"/>
            </w:tcBorders>
            <w:noWrap w:val="0"/>
            <w:vAlign w:val="center"/>
          </w:tcPr>
          <w:p w14:paraId="73A1ACC1">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861" w:type="dxa"/>
            <w:tcBorders>
              <w:left w:val="single" w:color="auto" w:sz="4" w:space="0"/>
              <w:right w:val="single" w:color="auto" w:sz="4" w:space="0"/>
            </w:tcBorders>
            <w:noWrap w:val="0"/>
            <w:vAlign w:val="center"/>
          </w:tcPr>
          <w:p w14:paraId="573607C9">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1034" w:type="dxa"/>
            <w:tcBorders>
              <w:left w:val="single" w:color="auto" w:sz="4" w:space="0"/>
              <w:right w:val="single" w:color="auto" w:sz="4" w:space="0"/>
            </w:tcBorders>
            <w:noWrap w:val="0"/>
            <w:vAlign w:val="center"/>
          </w:tcPr>
          <w:p w14:paraId="55C37264">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c>
          <w:tcPr>
            <w:tcW w:w="1031" w:type="dxa"/>
            <w:tcBorders>
              <w:left w:val="single" w:color="auto" w:sz="4" w:space="0"/>
              <w:right w:val="single" w:color="auto" w:sz="4" w:space="0"/>
            </w:tcBorders>
            <w:noWrap w:val="0"/>
            <w:vAlign w:val="center"/>
          </w:tcPr>
          <w:p w14:paraId="60A64865">
            <w:pPr>
              <w:pStyle w:val="17"/>
              <w:widowControl/>
              <w:kinsoku w:val="0"/>
              <w:overflowPunct w:val="0"/>
              <w:spacing w:line="400" w:lineRule="exact"/>
              <w:jc w:val="center"/>
              <w:rPr>
                <w:rFonts w:hint="default" w:ascii="仿宋" w:hAnsi="仿宋" w:eastAsia="仿宋" w:cstheme="minorBidi"/>
                <w:bCs/>
                <w:kern w:val="2"/>
                <w:sz w:val="21"/>
                <w:szCs w:val="21"/>
                <w:lang w:val="en-US" w:eastAsia="zh-CN" w:bidi="ar-SA"/>
              </w:rPr>
            </w:pPr>
          </w:p>
        </w:tc>
      </w:tr>
    </w:tbl>
    <w:p w14:paraId="02A8FC7D">
      <w:pPr>
        <w:spacing w:line="280" w:lineRule="exact"/>
        <w:rPr>
          <w:rFonts w:hint="eastAsia" w:ascii="仿宋" w:hAnsi="仿宋" w:eastAsia="仿宋"/>
          <w:b/>
          <w:bCs/>
          <w:szCs w:val="21"/>
          <w:lang w:val="en-US" w:eastAsia="zh-CN"/>
        </w:rPr>
      </w:pPr>
      <w:r>
        <w:rPr>
          <w:rFonts w:hint="eastAsia" w:ascii="仿宋" w:hAnsi="仿宋" w:eastAsia="仿宋"/>
          <w:b/>
          <w:bCs/>
          <w:szCs w:val="21"/>
          <w:lang w:val="en-US" w:eastAsia="zh-CN"/>
        </w:rPr>
        <w:t>注：报价包括总价及分项报价表</w:t>
      </w:r>
    </w:p>
    <w:p w14:paraId="04AEF164">
      <w:pPr>
        <w:rPr>
          <w:rFonts w:hint="eastAsia" w:ascii="宋体" w:hAnsi="宋体" w:eastAsia="宋体" w:cs="宋体"/>
          <w:sz w:val="24"/>
          <w:szCs w:val="24"/>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5"/>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144CD4"/>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D93162"/>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AD2194F"/>
    <w:rsid w:val="1B101758"/>
    <w:rsid w:val="1B9F31F9"/>
    <w:rsid w:val="1BD75F88"/>
    <w:rsid w:val="1BD91B12"/>
    <w:rsid w:val="1BEF2AA3"/>
    <w:rsid w:val="1C9571A6"/>
    <w:rsid w:val="1D2B387D"/>
    <w:rsid w:val="1D3A482F"/>
    <w:rsid w:val="1D5D0BCD"/>
    <w:rsid w:val="1DA42EB1"/>
    <w:rsid w:val="1DE06805"/>
    <w:rsid w:val="1DE71F92"/>
    <w:rsid w:val="1DF36129"/>
    <w:rsid w:val="1DF93C7B"/>
    <w:rsid w:val="1E41352B"/>
    <w:rsid w:val="1E4A0464"/>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4DC0F65"/>
    <w:rsid w:val="25052E0F"/>
    <w:rsid w:val="25552E7D"/>
    <w:rsid w:val="25720D38"/>
    <w:rsid w:val="25CB2A80"/>
    <w:rsid w:val="25E05DF6"/>
    <w:rsid w:val="263225F6"/>
    <w:rsid w:val="264C3185"/>
    <w:rsid w:val="279A1481"/>
    <w:rsid w:val="27E16F51"/>
    <w:rsid w:val="27FD740B"/>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64BAA"/>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A11D04"/>
    <w:rsid w:val="31CC76FF"/>
    <w:rsid w:val="31F172F6"/>
    <w:rsid w:val="324367D7"/>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B93792"/>
    <w:rsid w:val="36F1454D"/>
    <w:rsid w:val="37712166"/>
    <w:rsid w:val="37CF3484"/>
    <w:rsid w:val="37D710BC"/>
    <w:rsid w:val="37E17463"/>
    <w:rsid w:val="384637F8"/>
    <w:rsid w:val="38DC31DA"/>
    <w:rsid w:val="38E97418"/>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2DF6B1E"/>
    <w:rsid w:val="434D63C0"/>
    <w:rsid w:val="434D745C"/>
    <w:rsid w:val="43E95815"/>
    <w:rsid w:val="44364CD0"/>
    <w:rsid w:val="44472C6C"/>
    <w:rsid w:val="448E1FA2"/>
    <w:rsid w:val="44A122DD"/>
    <w:rsid w:val="44F007AE"/>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8E7945"/>
    <w:rsid w:val="49B42FE5"/>
    <w:rsid w:val="49B63AD6"/>
    <w:rsid w:val="49D41D01"/>
    <w:rsid w:val="49DA5AB1"/>
    <w:rsid w:val="49E23199"/>
    <w:rsid w:val="4B683C0F"/>
    <w:rsid w:val="4B815160"/>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191F67"/>
    <w:rsid w:val="5D40525F"/>
    <w:rsid w:val="5D433C9B"/>
    <w:rsid w:val="5D5D061E"/>
    <w:rsid w:val="5DC934C7"/>
    <w:rsid w:val="5DE61BB4"/>
    <w:rsid w:val="5DE921E3"/>
    <w:rsid w:val="5E025F34"/>
    <w:rsid w:val="5E5B76CA"/>
    <w:rsid w:val="5E6957E0"/>
    <w:rsid w:val="5EAF49FF"/>
    <w:rsid w:val="5EB005A8"/>
    <w:rsid w:val="5ED457C4"/>
    <w:rsid w:val="5F36302E"/>
    <w:rsid w:val="5F5D4F94"/>
    <w:rsid w:val="600E2F0E"/>
    <w:rsid w:val="60A0128E"/>
    <w:rsid w:val="60AE7E03"/>
    <w:rsid w:val="613D6F0C"/>
    <w:rsid w:val="61563EDB"/>
    <w:rsid w:val="61606110"/>
    <w:rsid w:val="616B2C59"/>
    <w:rsid w:val="618B5A4F"/>
    <w:rsid w:val="61C35ECC"/>
    <w:rsid w:val="6200624D"/>
    <w:rsid w:val="622412A8"/>
    <w:rsid w:val="624152A8"/>
    <w:rsid w:val="62717F29"/>
    <w:rsid w:val="62C959F4"/>
    <w:rsid w:val="638B00E1"/>
    <w:rsid w:val="6431737D"/>
    <w:rsid w:val="64491E06"/>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478DF"/>
    <w:rsid w:val="689F687A"/>
    <w:rsid w:val="68A270ED"/>
    <w:rsid w:val="68F64B7B"/>
    <w:rsid w:val="69993FC4"/>
    <w:rsid w:val="69C433F1"/>
    <w:rsid w:val="6A163EBE"/>
    <w:rsid w:val="6A656DD9"/>
    <w:rsid w:val="6B0928F1"/>
    <w:rsid w:val="6B763559"/>
    <w:rsid w:val="6BA52303"/>
    <w:rsid w:val="6BD25C42"/>
    <w:rsid w:val="6BE3402B"/>
    <w:rsid w:val="6C231A0A"/>
    <w:rsid w:val="6C7F08A6"/>
    <w:rsid w:val="6CBA018C"/>
    <w:rsid w:val="6CD67BD4"/>
    <w:rsid w:val="6D302D7C"/>
    <w:rsid w:val="6D392803"/>
    <w:rsid w:val="6D4B4ECE"/>
    <w:rsid w:val="6D9E2518"/>
    <w:rsid w:val="6DBA7B46"/>
    <w:rsid w:val="6E77495A"/>
    <w:rsid w:val="6EAF635F"/>
    <w:rsid w:val="6EC800BC"/>
    <w:rsid w:val="6FB73BE7"/>
    <w:rsid w:val="6FC74F89"/>
    <w:rsid w:val="6FC82399"/>
    <w:rsid w:val="6FE93FCD"/>
    <w:rsid w:val="700C02DF"/>
    <w:rsid w:val="70120CD3"/>
    <w:rsid w:val="705B2C76"/>
    <w:rsid w:val="70B92DBC"/>
    <w:rsid w:val="70CB34AB"/>
    <w:rsid w:val="70F17567"/>
    <w:rsid w:val="710A4F1D"/>
    <w:rsid w:val="71685DAD"/>
    <w:rsid w:val="718E6436"/>
    <w:rsid w:val="725F012C"/>
    <w:rsid w:val="727A01CC"/>
    <w:rsid w:val="72FD5CB8"/>
    <w:rsid w:val="73452A90"/>
    <w:rsid w:val="73586019"/>
    <w:rsid w:val="73622422"/>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B3A1A"/>
    <w:rsid w:val="799E4500"/>
    <w:rsid w:val="79FB08F2"/>
    <w:rsid w:val="7A6D1745"/>
    <w:rsid w:val="7A8D0632"/>
    <w:rsid w:val="7A8E45BE"/>
    <w:rsid w:val="7AED769A"/>
    <w:rsid w:val="7BDD0B1E"/>
    <w:rsid w:val="7C366122"/>
    <w:rsid w:val="7C693CA2"/>
    <w:rsid w:val="7C7062B2"/>
    <w:rsid w:val="7D4E23DA"/>
    <w:rsid w:val="7D536260"/>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3"/>
    <w:basedOn w:val="1"/>
    <w:unhideWhenUsed/>
    <w:qFormat/>
    <w:uiPriority w:val="99"/>
    <w:pPr>
      <w:spacing w:after="120"/>
    </w:pPr>
    <w:rPr>
      <w:rFonts w:ascii="Calibri" w:hAnsi="Calibri"/>
      <w:sz w:val="16"/>
      <w:szCs w:val="16"/>
      <w:lang w:val="zh-CN"/>
    </w:rPr>
  </w:style>
  <w:style w:type="paragraph" w:styleId="3">
    <w:name w:val="Normal Indent"/>
    <w:basedOn w:val="1"/>
    <w:autoRedefine/>
    <w:qFormat/>
    <w:uiPriority w:val="0"/>
    <w:pPr>
      <w:ind w:firstLine="420"/>
    </w:pPr>
    <w:rPr>
      <w:rFonts w:ascii="Calibri" w:hAnsi="Calibri" w:eastAsia="宋体" w:cs="Times New Roman"/>
    </w:rPr>
  </w:style>
  <w:style w:type="paragraph" w:styleId="4">
    <w:name w:val="Body Text"/>
    <w:basedOn w:val="1"/>
    <w:autoRedefine/>
    <w:qFormat/>
    <w:uiPriority w:val="0"/>
    <w:pPr>
      <w:spacing w:after="120"/>
    </w:pPr>
  </w:style>
  <w:style w:type="paragraph" w:styleId="5">
    <w:name w:val="footer"/>
    <w:basedOn w:val="1"/>
    <w:link w:val="14"/>
    <w:autoRedefine/>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autoRedefine/>
    <w:unhideWhenUsed/>
    <w:qFormat/>
    <w:uiPriority w:val="99"/>
    <w:pPr>
      <w:ind w:firstLine="420" w:firstLineChars="100"/>
    </w:pPr>
    <w:rPr>
      <w:rFonts w:ascii="Times New Roman" w:hAnsi="Times New Roman"/>
      <w:kern w:val="0"/>
      <w:sz w:val="20"/>
      <w:szCs w:val="20"/>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1">
    <w:name w:val="style4"/>
    <w:basedOn w:val="1"/>
    <w:next w:val="12"/>
    <w:autoRedefine/>
    <w:qFormat/>
    <w:uiPriority w:val="0"/>
    <w:pPr>
      <w:widowControl/>
      <w:spacing w:before="280" w:after="280"/>
    </w:pPr>
    <w:rPr>
      <w:rFonts w:ascii="宋体" w:hAnsi="Times New Roman" w:eastAsia="宋体" w:cs="Times New Roman"/>
      <w:sz w:val="18"/>
    </w:rPr>
  </w:style>
  <w:style w:type="paragraph" w:customStyle="1" w:styleId="12">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3">
    <w:name w:val="页眉 Char"/>
    <w:basedOn w:val="10"/>
    <w:link w:val="6"/>
    <w:autoRedefine/>
    <w:semiHidden/>
    <w:qFormat/>
    <w:uiPriority w:val="99"/>
    <w:rPr>
      <w:sz w:val="18"/>
      <w:szCs w:val="18"/>
    </w:rPr>
  </w:style>
  <w:style w:type="character" w:customStyle="1" w:styleId="14">
    <w:name w:val="页脚 Char"/>
    <w:basedOn w:val="10"/>
    <w:link w:val="5"/>
    <w:autoRedefine/>
    <w:qFormat/>
    <w:uiPriority w:val="99"/>
    <w:rPr>
      <w:sz w:val="18"/>
      <w:szCs w:val="18"/>
    </w:rPr>
  </w:style>
  <w:style w:type="paragraph" w:customStyle="1" w:styleId="15">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6">
    <w:name w:val="NormalCharacter"/>
    <w:autoRedefine/>
    <w:qFormat/>
    <w:uiPriority w:val="0"/>
  </w:style>
  <w:style w:type="paragraph" w:customStyle="1" w:styleId="17">
    <w:name w:val="Table Paragraph"/>
    <w:basedOn w:val="1"/>
    <w:autoRedefine/>
    <w:qFormat/>
    <w:uiPriority w:val="1"/>
    <w:rPr>
      <w:rFonts w:ascii="Times New Roman" w:hAnsi="Times New Roman" w:eastAsia="宋体" w:cs="Times New Roman"/>
      <w:sz w:val="24"/>
      <w:szCs w:val="20"/>
    </w:rPr>
  </w:style>
  <w:style w:type="paragraph" w:customStyle="1" w:styleId="18">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19">
    <w:name w:val="List Paragraph"/>
    <w:basedOn w:val="1"/>
    <w:autoRedefine/>
    <w:qFormat/>
    <w:uiPriority w:val="34"/>
    <w:pPr>
      <w:ind w:firstLine="420" w:firstLineChars="200"/>
    </w:pPr>
  </w:style>
  <w:style w:type="character" w:customStyle="1" w:styleId="20">
    <w:name w:val="font11"/>
    <w:basedOn w:val="10"/>
    <w:qFormat/>
    <w:uiPriority w:val="0"/>
    <w:rPr>
      <w:rFonts w:hint="eastAsia" w:ascii="宋体" w:hAnsi="宋体" w:eastAsia="宋体" w:cs="宋体"/>
      <w:color w:val="000000"/>
      <w:sz w:val="21"/>
      <w:szCs w:val="21"/>
      <w:u w:val="none"/>
    </w:rPr>
  </w:style>
  <w:style w:type="character" w:customStyle="1" w:styleId="21">
    <w:name w:val="font21"/>
    <w:basedOn w:val="10"/>
    <w:qFormat/>
    <w:uiPriority w:val="0"/>
    <w:rPr>
      <w:rFonts w:hint="eastAsia" w:ascii="宋体" w:hAnsi="宋体" w:eastAsia="宋体" w:cs="宋体"/>
      <w:strike/>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2288</Words>
  <Characters>2468</Characters>
  <Lines>6</Lines>
  <Paragraphs>1</Paragraphs>
  <TotalTime>14</TotalTime>
  <ScaleCrop>false</ScaleCrop>
  <LinksUpToDate>false</LinksUpToDate>
  <CharactersWithSpaces>2573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2025-04-23T01:49:39Z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E062D76414584381BD85BD2A1E8E5FEF_13</vt:lpwstr>
  </property>
  <property fmtid="{D5CDD505-2E9C-101B-9397-08002B2CF9AE}" pid="4" name="commondata">
    <vt:lpwstr>eyJoZGlkIjoiNzljOTE0MDRlMmUyY2M3ZGQ4Nzk0OWRiOWI1OGE3ZmYifQ==</vt:lpwstr>
  </property>
  <property fmtid="{D5CDD505-2E9C-101B-9397-08002B2CF9AE}" pid="5" name="KSOTemplateDocerSaveRecord">
    <vt:lpwstr>eyJoZGlkIjoiMDcwOTMyZThjNzA5NmY4YzNmMTlmYWQyOWUyNTJkNWUiLCJ1c2VySWQiOiI2MzY4MjMxNDkifQ==</vt:lpwstr>
  </property>
</Properties>
</file>