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5BCEB7">
      <w:pPr>
        <w:spacing w:line="320" w:lineRule="exact"/>
        <w:jc w:val="center"/>
        <w:rPr>
          <w:rFonts w:ascii="仿宋" w:hAnsi="仿宋" w:eastAsia="仿宋"/>
          <w:sz w:val="32"/>
          <w:szCs w:val="32"/>
        </w:rPr>
      </w:pPr>
      <w:r>
        <w:rPr>
          <w:rFonts w:hint="eastAsia" w:asciiTheme="majorEastAsia" w:hAnsiTheme="majorEastAsia" w:eastAsiaTheme="majorEastAsia"/>
          <w:b/>
          <w:sz w:val="32"/>
          <w:szCs w:val="32"/>
        </w:rPr>
        <w:t>附件：拟购</w:t>
      </w:r>
      <w:r>
        <w:rPr>
          <w:rFonts w:hint="eastAsia" w:asciiTheme="majorEastAsia" w:hAnsiTheme="majorEastAsia" w:eastAsiaTheme="majorEastAsia"/>
          <w:b/>
          <w:sz w:val="32"/>
          <w:szCs w:val="32"/>
          <w:lang w:val="en-US" w:eastAsia="zh-CN"/>
        </w:rPr>
        <w:t>六安市中医院急诊急救一体化平台</w:t>
      </w:r>
      <w:r>
        <w:rPr>
          <w:rFonts w:hint="eastAsia" w:asciiTheme="majorEastAsia" w:hAnsiTheme="majorEastAsia" w:eastAsiaTheme="majorEastAsia"/>
          <w:b/>
          <w:sz w:val="32"/>
          <w:szCs w:val="32"/>
        </w:rPr>
        <w:t>项目初步参数</w:t>
      </w:r>
      <w:r>
        <w:rPr>
          <w:rFonts w:hint="eastAsia" w:asciiTheme="majorEastAsia" w:hAnsiTheme="majorEastAsia" w:eastAsiaTheme="majorEastAsia"/>
          <w:b/>
          <w:sz w:val="32"/>
          <w:szCs w:val="32"/>
          <w:lang w:val="en-US" w:eastAsia="zh-CN"/>
        </w:rPr>
        <w:t>（第二次）</w:t>
      </w:r>
      <w:r>
        <w:rPr>
          <w:rFonts w:hint="eastAsia" w:asciiTheme="majorEastAsia" w:hAnsiTheme="majorEastAsia" w:eastAsiaTheme="majorEastAsia"/>
          <w:b/>
          <w:sz w:val="32"/>
          <w:szCs w:val="32"/>
        </w:rPr>
        <w:t>论证征集意见表</w:t>
      </w:r>
    </w:p>
    <w:p w14:paraId="7ADE7657">
      <w:pPr>
        <w:spacing w:line="320" w:lineRule="exact"/>
        <w:rPr>
          <w:rFonts w:ascii="仿宋" w:hAnsi="仿宋" w:eastAsia="仿宋"/>
          <w:sz w:val="24"/>
          <w:szCs w:val="24"/>
        </w:rPr>
      </w:pPr>
    </w:p>
    <w:p w14:paraId="0E9FF024">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szCs w:val="21"/>
          <w:u w:val="single"/>
        </w:rPr>
      </w:pPr>
      <w:r>
        <w:rPr>
          <w:rFonts w:hint="eastAsia" w:ascii="仿宋" w:hAnsi="仿宋" w:eastAsia="仿宋"/>
          <w:szCs w:val="21"/>
        </w:rPr>
        <w:t>供应商、联系人及电话（加盖公章）：</w:t>
      </w:r>
      <w:r>
        <w:rPr>
          <w:rFonts w:hint="eastAsia" w:ascii="仿宋" w:hAnsi="仿宋" w:eastAsia="仿宋"/>
          <w:szCs w:val="21"/>
          <w:u w:val="single"/>
        </w:rPr>
        <w:t xml:space="preserve">                                                      </w:t>
      </w:r>
    </w:p>
    <w:p w14:paraId="10AB28BB">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szCs w:val="21"/>
          <w:u w:val="single"/>
        </w:rPr>
      </w:pPr>
      <w:r>
        <w:rPr>
          <w:rFonts w:hint="eastAsia" w:ascii="仿宋" w:hAnsi="仿宋" w:eastAsia="仿宋"/>
          <w:szCs w:val="21"/>
        </w:rPr>
        <w:t>产品品牌、规格型号、产地、医疗器械注册证号及最低报价：</w:t>
      </w:r>
      <w:r>
        <w:rPr>
          <w:rFonts w:hint="eastAsia" w:ascii="仿宋" w:hAnsi="仿宋" w:eastAsia="仿宋"/>
          <w:szCs w:val="21"/>
          <w:u w:val="single"/>
        </w:rPr>
        <w:t xml:space="preserve">                                 </w:t>
      </w:r>
    </w:p>
    <w:p w14:paraId="6821FC4C">
      <w:pPr>
        <w:keepNext w:val="0"/>
        <w:keepLines w:val="0"/>
        <w:pageBreakBefore w:val="0"/>
        <w:widowControl w:val="0"/>
        <w:kinsoku/>
        <w:wordWrap/>
        <w:overflowPunct/>
        <w:topLinePunct w:val="0"/>
        <w:autoSpaceDE/>
        <w:autoSpaceDN/>
        <w:bidi w:val="0"/>
        <w:adjustRightInd/>
        <w:snapToGrid/>
        <w:spacing w:line="300" w:lineRule="exact"/>
        <w:ind w:firstLine="422" w:firstLineChars="200"/>
        <w:textAlignment w:val="auto"/>
        <w:rPr>
          <w:rFonts w:hint="eastAsia" w:ascii="仿宋" w:hAnsi="仿宋" w:eastAsia="仿宋"/>
          <w:b/>
          <w:szCs w:val="21"/>
        </w:rPr>
      </w:pPr>
      <w:r>
        <w:rPr>
          <w:rFonts w:hint="eastAsia" w:ascii="仿宋" w:hAnsi="仿宋" w:eastAsia="仿宋"/>
          <w:b/>
          <w:szCs w:val="21"/>
        </w:rPr>
        <w:t>备注：</w:t>
      </w:r>
    </w:p>
    <w:p w14:paraId="20482C66">
      <w:pPr>
        <w:keepNext w:val="0"/>
        <w:keepLines w:val="0"/>
        <w:pageBreakBefore w:val="0"/>
        <w:widowControl w:val="0"/>
        <w:kinsoku/>
        <w:wordWrap/>
        <w:overflowPunct/>
        <w:topLinePunct w:val="0"/>
        <w:autoSpaceDE/>
        <w:autoSpaceDN/>
        <w:bidi w:val="0"/>
        <w:adjustRightInd/>
        <w:snapToGrid/>
        <w:spacing w:line="300" w:lineRule="exact"/>
        <w:ind w:firstLine="420" w:firstLineChars="200"/>
        <w:textAlignment w:val="auto"/>
        <w:rPr>
          <w:rFonts w:ascii="仿宋" w:hAnsi="仿宋" w:eastAsia="仿宋"/>
          <w:szCs w:val="21"/>
        </w:rPr>
      </w:pPr>
      <w:r>
        <w:rPr>
          <w:rFonts w:hint="eastAsia" w:ascii="仿宋" w:hAnsi="仿宋" w:eastAsia="仿宋"/>
          <w:szCs w:val="21"/>
        </w:rPr>
        <w:t>1、按要求格式填写并每页加盖报名供应商公章【电子章无效】，在规定时间内以</w:t>
      </w:r>
      <w:r>
        <w:rPr>
          <w:rFonts w:hint="eastAsia" w:ascii="仿宋" w:hAnsi="仿宋" w:eastAsia="仿宋"/>
          <w:b/>
          <w:szCs w:val="21"/>
        </w:rPr>
        <w:t>原件扫描件和电子版形式</w:t>
      </w:r>
      <w:r>
        <w:rPr>
          <w:rFonts w:hint="eastAsia" w:ascii="仿宋" w:hAnsi="仿宋" w:eastAsia="仿宋"/>
          <w:szCs w:val="21"/>
        </w:rPr>
        <w:t>发送至医院指定邮箱（</w:t>
      </w:r>
      <w:r>
        <w:rPr>
          <w:rFonts w:hint="eastAsia" w:ascii="仿宋" w:hAnsi="仿宋" w:eastAsia="仿宋"/>
          <w:szCs w:val="21"/>
          <w:u w:val="single"/>
        </w:rPr>
        <w:t>招标办</w:t>
      </w:r>
      <w:r>
        <w:rPr>
          <w:rFonts w:hint="eastAsia" w:ascii="仿宋" w:hAnsi="仿宋" w:eastAsia="仿宋"/>
          <w:szCs w:val="21"/>
        </w:rPr>
        <w:t>：2523245199@qq.com</w:t>
      </w:r>
      <w:r>
        <w:rPr>
          <w:rFonts w:hint="eastAsia" w:ascii="仿宋" w:hAnsi="仿宋" w:eastAsia="仿宋"/>
          <w:szCs w:val="21"/>
          <w:u w:val="single"/>
        </w:rPr>
        <w:t>和归口科室</w:t>
      </w:r>
      <w:r>
        <w:rPr>
          <w:rFonts w:hint="eastAsia" w:ascii="仿宋" w:hAnsi="仿宋" w:eastAsia="仿宋"/>
          <w:szCs w:val="21"/>
        </w:rPr>
        <w:t>【设备</w:t>
      </w:r>
      <w:r>
        <w:rPr>
          <w:rFonts w:hint="eastAsia" w:ascii="仿宋" w:hAnsi="仿宋" w:eastAsia="仿宋"/>
          <w:szCs w:val="21"/>
          <w:lang w:val="en-US" w:eastAsia="zh-CN"/>
        </w:rPr>
        <w:t>工程部</w:t>
      </w:r>
      <w:r>
        <w:rPr>
          <w:rFonts w:hint="eastAsia" w:ascii="仿宋" w:hAnsi="仿宋" w:eastAsia="仿宋"/>
          <w:szCs w:val="21"/>
        </w:rPr>
        <w:t>□、</w:t>
      </w:r>
      <w:r>
        <w:rPr>
          <w:rFonts w:hint="eastAsia" w:ascii="仿宋" w:hAnsi="仿宋" w:eastAsia="仿宋"/>
          <w:szCs w:val="21"/>
          <w:lang w:val="en-US" w:eastAsia="zh-CN"/>
        </w:rPr>
        <w:t>信息管理部</w:t>
      </w:r>
      <w:r>
        <w:rPr>
          <w:rFonts w:hint="eastAsia" w:ascii="仿宋" w:hAnsi="仿宋" w:eastAsia="仿宋"/>
          <w:szCs w:val="21"/>
          <w:lang w:eastAsia="zh-CN"/>
        </w:rPr>
        <w:t>☑</w:t>
      </w:r>
      <w:r>
        <w:rPr>
          <w:rFonts w:hint="eastAsia" w:ascii="仿宋" w:hAnsi="仿宋" w:eastAsia="仿宋"/>
          <w:szCs w:val="21"/>
        </w:rPr>
        <w:t>、</w:t>
      </w:r>
      <w:r>
        <w:rPr>
          <w:rFonts w:hint="eastAsia" w:ascii="仿宋" w:hAnsi="仿宋" w:eastAsia="仿宋"/>
          <w:szCs w:val="21"/>
          <w:lang w:val="en-US" w:eastAsia="zh-CN"/>
        </w:rPr>
        <w:t>后勤保障部</w:t>
      </w:r>
      <w:r>
        <w:rPr>
          <w:rFonts w:hint="eastAsia" w:ascii="仿宋" w:hAnsi="仿宋" w:eastAsia="仿宋"/>
          <w:szCs w:val="21"/>
        </w:rPr>
        <w:t>□及其他□</w:t>
      </w:r>
      <w:r>
        <w:rPr>
          <w:rFonts w:hint="eastAsia" w:ascii="仿宋" w:hAnsi="仿宋" w:eastAsia="仿宋"/>
          <w:szCs w:val="21"/>
          <w:u w:val="single"/>
        </w:rPr>
        <w:t xml:space="preserve">          </w:t>
      </w:r>
      <w:r>
        <w:rPr>
          <w:rFonts w:hint="eastAsia" w:ascii="仿宋" w:hAnsi="仿宋" w:eastAsia="仿宋"/>
          <w:szCs w:val="21"/>
        </w:rPr>
        <w:t>】：LASZYYXXK@163.com</w:t>
      </w:r>
      <w:r>
        <w:rPr>
          <w:rFonts w:hint="eastAsia" w:ascii="仿宋" w:hAnsi="仿宋" w:eastAsia="仿宋"/>
          <w:szCs w:val="21"/>
          <w:u w:val="single"/>
        </w:rPr>
        <w:t xml:space="preserve"> </w:t>
      </w:r>
      <w:r>
        <w:rPr>
          <w:rFonts w:hint="eastAsia" w:ascii="仿宋" w:hAnsi="仿宋" w:eastAsia="仿宋"/>
          <w:szCs w:val="21"/>
        </w:rPr>
        <w:t>）；</w:t>
      </w:r>
    </w:p>
    <w:p w14:paraId="2B8BFDA7">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420" w:firstLineChars="200"/>
        <w:textAlignment w:val="auto"/>
        <w:rPr>
          <w:rFonts w:hint="eastAsia" w:ascii="仿宋" w:hAnsi="仿宋" w:eastAsia="仿宋"/>
          <w:b/>
          <w:szCs w:val="21"/>
          <w:u w:val="single"/>
        </w:rPr>
      </w:pPr>
      <w:r>
        <w:rPr>
          <w:rFonts w:hint="eastAsia" w:ascii="仿宋" w:hAnsi="仿宋" w:eastAsia="仿宋"/>
          <w:szCs w:val="21"/>
          <w:lang w:val="en-US" w:eastAsia="zh-CN"/>
        </w:rPr>
        <w:t>2、</w:t>
      </w:r>
      <w:r>
        <w:rPr>
          <w:rFonts w:hint="eastAsia" w:ascii="仿宋" w:hAnsi="仿宋" w:eastAsia="仿宋"/>
          <w:szCs w:val="21"/>
        </w:rPr>
        <w:t>响应情况（是/否）若为否则</w:t>
      </w:r>
      <w:r>
        <w:rPr>
          <w:rFonts w:hint="eastAsia" w:ascii="仿宋" w:hAnsi="仿宋" w:eastAsia="仿宋"/>
          <w:szCs w:val="21"/>
          <w:lang w:eastAsia="zh-CN"/>
        </w:rPr>
        <w:t>须标注</w:t>
      </w:r>
      <w:r>
        <w:rPr>
          <w:rFonts w:hint="eastAsia" w:ascii="仿宋" w:hAnsi="仿宋" w:eastAsia="仿宋"/>
          <w:szCs w:val="21"/>
        </w:rPr>
        <w:t>具体建议修改</w:t>
      </w:r>
      <w:r>
        <w:rPr>
          <w:rFonts w:hint="eastAsia" w:ascii="仿宋" w:hAnsi="仿宋" w:eastAsia="仿宋"/>
          <w:szCs w:val="21"/>
          <w:lang w:eastAsia="zh-CN"/>
        </w:rPr>
        <w:t>指标（</w:t>
      </w:r>
      <w:r>
        <w:rPr>
          <w:rFonts w:hint="eastAsia" w:ascii="仿宋" w:hAnsi="仿宋" w:eastAsia="仿宋"/>
          <w:b/>
          <w:bCs/>
          <w:szCs w:val="21"/>
          <w:lang w:eastAsia="zh-CN"/>
        </w:rPr>
        <w:t>未标注则默认为响应初步参数</w:t>
      </w:r>
      <w:r>
        <w:rPr>
          <w:rFonts w:hint="eastAsia" w:ascii="仿宋" w:hAnsi="仿宋" w:eastAsia="仿宋"/>
          <w:szCs w:val="21"/>
          <w:lang w:eastAsia="zh-CN"/>
        </w:rPr>
        <w:t>）</w:t>
      </w:r>
      <w:r>
        <w:rPr>
          <w:rFonts w:hint="eastAsia" w:ascii="仿宋" w:hAnsi="仿宋" w:eastAsia="仿宋"/>
          <w:szCs w:val="21"/>
        </w:rPr>
        <w:t>，</w:t>
      </w:r>
      <w:r>
        <w:rPr>
          <w:rFonts w:hint="eastAsia" w:ascii="仿宋" w:hAnsi="仿宋" w:eastAsia="仿宋"/>
          <w:b/>
          <w:bCs/>
          <w:szCs w:val="21"/>
        </w:rPr>
        <w:t>建议修改</w:t>
      </w:r>
      <w:r>
        <w:rPr>
          <w:rFonts w:hint="eastAsia" w:ascii="仿宋" w:hAnsi="仿宋" w:eastAsia="仿宋"/>
          <w:b/>
          <w:bCs/>
          <w:szCs w:val="21"/>
          <w:lang w:eastAsia="zh-CN"/>
        </w:rPr>
        <w:t>指标</w:t>
      </w:r>
      <w:r>
        <w:rPr>
          <w:rFonts w:hint="eastAsia" w:ascii="仿宋" w:hAnsi="仿宋" w:eastAsia="仿宋"/>
          <w:b/>
          <w:bCs/>
          <w:szCs w:val="21"/>
        </w:rPr>
        <w:t>须</w:t>
      </w:r>
      <w:r>
        <w:rPr>
          <w:rFonts w:hint="eastAsia" w:ascii="仿宋" w:hAnsi="仿宋" w:eastAsia="仿宋"/>
          <w:b/>
          <w:bCs/>
          <w:szCs w:val="21"/>
          <w:lang w:eastAsia="zh-CN"/>
        </w:rPr>
        <w:t>提供相应证明材料</w:t>
      </w:r>
      <w:r>
        <w:rPr>
          <w:rFonts w:hint="eastAsia" w:ascii="仿宋" w:hAnsi="仿宋" w:eastAsia="仿宋"/>
          <w:szCs w:val="21"/>
        </w:rPr>
        <w:t>（</w:t>
      </w:r>
      <w:r>
        <w:rPr>
          <w:rFonts w:hint="eastAsia" w:ascii="仿宋" w:hAnsi="仿宋" w:eastAsia="仿宋" w:cs="仿宋"/>
          <w:b w:val="0"/>
          <w:bCs/>
          <w:szCs w:val="21"/>
          <w:lang w:eastAsia="zh-CN"/>
        </w:rPr>
        <w:t>★项</w:t>
      </w:r>
      <w:r>
        <w:rPr>
          <w:rFonts w:hint="eastAsia" w:ascii="仿宋" w:hAnsi="仿宋" w:eastAsia="仿宋"/>
          <w:szCs w:val="21"/>
          <w:lang w:eastAsia="zh-CN"/>
        </w:rPr>
        <w:t>证明材料须为政府主管部门【或</w:t>
      </w:r>
      <w:r>
        <w:rPr>
          <w:rStyle w:val="16"/>
          <w:rFonts w:hint="eastAsia" w:ascii="仿宋" w:hAnsi="仿宋" w:eastAsia="仿宋" w:cs="仿宋"/>
          <w:b w:val="0"/>
          <w:bCs/>
          <w:color w:val="auto"/>
          <w:sz w:val="21"/>
          <w:szCs w:val="21"/>
          <w:lang w:eastAsia="zh-CN"/>
        </w:rPr>
        <w:t>具备</w:t>
      </w:r>
      <w:r>
        <w:rPr>
          <w:rStyle w:val="16"/>
          <w:rFonts w:hint="eastAsia" w:ascii="仿宋" w:hAnsi="仿宋" w:eastAsia="仿宋" w:cs="仿宋"/>
          <w:b w:val="0"/>
          <w:bCs/>
          <w:color w:val="auto"/>
          <w:sz w:val="21"/>
          <w:szCs w:val="21"/>
          <w:lang w:val="en-US" w:eastAsia="zh-CN"/>
        </w:rPr>
        <w:t>CMA&lt;或CNAS&gt;资质检测机构】出具的</w:t>
      </w:r>
      <w:r>
        <w:rPr>
          <w:rFonts w:hint="eastAsia" w:ascii="仿宋" w:hAnsi="仿宋" w:eastAsia="仿宋"/>
          <w:szCs w:val="21"/>
          <w:lang w:eastAsia="zh-CN"/>
        </w:rPr>
        <w:t>检测报告，非</w:t>
      </w:r>
      <w:r>
        <w:rPr>
          <w:rFonts w:hint="eastAsia" w:ascii="仿宋" w:hAnsi="仿宋" w:eastAsia="仿宋" w:cs="仿宋"/>
          <w:b w:val="0"/>
          <w:bCs/>
          <w:szCs w:val="21"/>
          <w:lang w:eastAsia="zh-CN"/>
        </w:rPr>
        <w:t>★项</w:t>
      </w:r>
      <w:r>
        <w:rPr>
          <w:rFonts w:hint="eastAsia" w:ascii="仿宋" w:hAnsi="仿宋" w:eastAsia="仿宋"/>
          <w:szCs w:val="21"/>
          <w:lang w:eastAsia="zh-CN"/>
        </w:rPr>
        <w:t>证明材料可为除彩页外的其他材料，</w:t>
      </w:r>
      <w:r>
        <w:rPr>
          <w:rFonts w:hint="eastAsia" w:ascii="仿宋" w:hAnsi="仿宋" w:eastAsia="仿宋"/>
          <w:b/>
          <w:bCs/>
          <w:szCs w:val="21"/>
          <w:lang w:eastAsia="zh-CN"/>
        </w:rPr>
        <w:t>无证明材料则可不予采纳</w:t>
      </w:r>
      <w:r>
        <w:rPr>
          <w:rFonts w:hint="eastAsia" w:ascii="仿宋" w:hAnsi="仿宋" w:eastAsia="仿宋"/>
          <w:szCs w:val="21"/>
          <w:lang w:eastAsia="zh-CN"/>
        </w:rPr>
        <w:t>；建议修改意见</w:t>
      </w:r>
      <w:r>
        <w:rPr>
          <w:rFonts w:hint="eastAsia" w:ascii="仿宋" w:hAnsi="仿宋" w:eastAsia="仿宋"/>
          <w:szCs w:val="21"/>
        </w:rPr>
        <w:t>原则上须满足业界主流品牌同档次水平产品</w:t>
      </w:r>
      <w:r>
        <w:rPr>
          <w:rFonts w:hint="eastAsia" w:ascii="仿宋" w:hAnsi="仿宋" w:eastAsia="仿宋"/>
          <w:szCs w:val="21"/>
          <w:lang w:eastAsia="zh-CN"/>
        </w:rPr>
        <w:t>且不得为独家</w:t>
      </w:r>
      <w:r>
        <w:rPr>
          <w:rFonts w:hint="eastAsia" w:ascii="仿宋" w:hAnsi="仿宋" w:eastAsia="仿宋"/>
          <w:szCs w:val="21"/>
        </w:rPr>
        <w:t>），</w:t>
      </w:r>
      <w:r>
        <w:rPr>
          <w:rFonts w:hint="eastAsia" w:ascii="仿宋" w:hAnsi="仿宋" w:eastAsia="仿宋"/>
          <w:b/>
          <w:szCs w:val="21"/>
          <w:u w:val="single"/>
        </w:rPr>
        <w:t>同时务必备注本品牌本规格型号产品相对应的真实指标并标注是否为独家（供医院汇总定稿版参数时选择）；</w:t>
      </w:r>
    </w:p>
    <w:p w14:paraId="1FD8E2CB">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420" w:firstLineChars="200"/>
        <w:textAlignment w:val="auto"/>
        <w:rPr>
          <w:rFonts w:hint="eastAsia" w:ascii="仿宋" w:hAnsi="仿宋" w:eastAsia="仿宋"/>
          <w:b w:val="0"/>
          <w:bCs/>
          <w:szCs w:val="21"/>
          <w:u w:val="none"/>
          <w:lang w:eastAsia="zh-CN"/>
        </w:rPr>
      </w:pPr>
      <w:r>
        <w:rPr>
          <w:rFonts w:hint="eastAsia" w:ascii="仿宋" w:hAnsi="仿宋" w:eastAsia="仿宋"/>
          <w:b w:val="0"/>
          <w:bCs/>
          <w:szCs w:val="21"/>
          <w:u w:val="none"/>
          <w:lang w:val="en-US" w:eastAsia="zh-CN"/>
        </w:rPr>
        <w:t>3、院方根据各</w:t>
      </w:r>
      <w:r>
        <w:rPr>
          <w:rFonts w:hint="eastAsia" w:ascii="仿宋" w:hAnsi="仿宋" w:eastAsia="仿宋"/>
          <w:b w:val="0"/>
          <w:bCs/>
          <w:szCs w:val="21"/>
          <w:u w:val="none"/>
          <w:lang w:eastAsia="zh-CN"/>
        </w:rPr>
        <w:t>潜在供应商提供的配套耗材和须定期更换零部件的报价清单</w:t>
      </w:r>
      <w:r>
        <w:rPr>
          <w:rFonts w:hint="eastAsia" w:ascii="仿宋" w:hAnsi="仿宋" w:eastAsia="仿宋"/>
          <w:b w:val="0"/>
          <w:bCs/>
          <w:szCs w:val="21"/>
          <w:u w:val="none"/>
          <w:lang w:val="en-US" w:eastAsia="zh-CN"/>
        </w:rPr>
        <w:t>(须同步提供近2年内至少3家二级及以上医院发票原件扫描件和入库清单【遮挡无效】)进行</w:t>
      </w:r>
      <w:r>
        <w:rPr>
          <w:rFonts w:hint="eastAsia" w:ascii="仿宋" w:hAnsi="仿宋" w:eastAsia="仿宋"/>
          <w:b w:val="0"/>
          <w:bCs/>
          <w:szCs w:val="21"/>
          <w:u w:val="none"/>
          <w:lang w:eastAsia="zh-CN"/>
        </w:rPr>
        <w:t>设置相关报价限价，若潜在供应商均未提供报价清单（含发票原件扫描件和入库清单）则视同本项目无耗材和须定期更换零部件。</w:t>
      </w:r>
    </w:p>
    <w:p w14:paraId="2266D20E">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422" w:firstLineChars="200"/>
        <w:textAlignment w:val="auto"/>
        <w:rPr>
          <w:rFonts w:ascii="仿宋" w:hAnsi="仿宋" w:eastAsia="仿宋"/>
          <w:szCs w:val="21"/>
        </w:rPr>
      </w:pPr>
      <w:r>
        <w:rPr>
          <w:rFonts w:hint="eastAsia" w:ascii="仿宋" w:hAnsi="仿宋" w:eastAsia="仿宋"/>
          <w:b/>
          <w:bCs w:val="0"/>
          <w:szCs w:val="21"/>
          <w:u w:val="none"/>
          <w:lang w:val="en-US" w:eastAsia="zh-CN"/>
        </w:rPr>
        <w:t>4、</w:t>
      </w:r>
      <w:r>
        <w:rPr>
          <w:rFonts w:hint="eastAsia" w:ascii="仿宋" w:hAnsi="仿宋" w:eastAsia="仿宋"/>
          <w:b/>
          <w:bCs w:val="0"/>
          <w:szCs w:val="21"/>
          <w:u w:val="none"/>
          <w:lang w:eastAsia="zh-CN"/>
        </w:rPr>
        <w:t>杜绝两现象：</w:t>
      </w:r>
      <w:r>
        <w:rPr>
          <w:rFonts w:hint="eastAsia" w:ascii="仿宋" w:hAnsi="仿宋" w:eastAsia="仿宋"/>
          <w:b w:val="0"/>
          <w:bCs/>
          <w:szCs w:val="21"/>
          <w:u w:val="none"/>
          <w:lang w:eastAsia="zh-CN"/>
        </w:rPr>
        <w:t>一是整机保修</w:t>
      </w:r>
      <w:r>
        <w:rPr>
          <w:rFonts w:hint="eastAsia" w:ascii="仿宋" w:hAnsi="仿宋" w:eastAsia="仿宋"/>
          <w:b w:val="0"/>
          <w:bCs/>
          <w:szCs w:val="21"/>
          <w:u w:val="none"/>
          <w:lang w:val="en-US" w:eastAsia="zh-CN"/>
        </w:rPr>
        <w:t>3年，保修范围不包含须定期更换零部件，须定期更换零部件报价清单如下...；二是将须定期更换零部件变为耗材，恶意降低货物价格，提高耗材价（或直接提高耗材报价）。</w:t>
      </w:r>
    </w:p>
    <w:p w14:paraId="50C58F7C">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仿宋" w:hAnsi="仿宋" w:eastAsia="仿宋"/>
          <w:b/>
          <w:bCs w:val="0"/>
          <w:szCs w:val="21"/>
          <w:lang w:eastAsia="zh-CN"/>
        </w:rPr>
      </w:pPr>
      <w:r>
        <w:rPr>
          <w:rFonts w:hint="eastAsia" w:ascii="仿宋" w:hAnsi="仿宋" w:eastAsia="仿宋"/>
          <w:b/>
          <w:bCs w:val="0"/>
          <w:szCs w:val="21"/>
        </w:rPr>
        <w:t>附件：配套耗材、试剂【单人次费用】及须定期更换零部件报价清单（样表【若无则标注“无”且不可删除】、可单列</w:t>
      </w:r>
      <w:r>
        <w:rPr>
          <w:rFonts w:hint="eastAsia" w:ascii="仿宋" w:hAnsi="仿宋" w:eastAsia="仿宋"/>
          <w:b/>
          <w:bCs w:val="0"/>
          <w:szCs w:val="21"/>
          <w:lang w:eastAsia="zh-CN"/>
        </w:rPr>
        <w:t>）。</w:t>
      </w:r>
    </w:p>
    <w:p w14:paraId="2FD36484">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420" w:firstLineChars="200"/>
        <w:textAlignment w:val="auto"/>
        <w:rPr>
          <w:rFonts w:hint="eastAsia" w:ascii="仿宋" w:hAnsi="仿宋" w:eastAsia="仿宋"/>
          <w:b/>
          <w:szCs w:val="21"/>
        </w:rPr>
      </w:pPr>
      <w:r>
        <w:rPr>
          <w:rFonts w:hint="eastAsia" w:ascii="仿宋" w:hAnsi="仿宋" w:eastAsia="仿宋" w:cs="仿宋"/>
          <w:b w:val="0"/>
          <w:bCs/>
          <w:szCs w:val="21"/>
          <w:lang w:val="en-US" w:eastAsia="zh-CN"/>
        </w:rPr>
        <w:t>5、</w:t>
      </w:r>
      <w:r>
        <w:rPr>
          <w:rFonts w:hint="eastAsia" w:ascii="仿宋" w:hAnsi="仿宋" w:eastAsia="仿宋" w:cs="仿宋"/>
          <w:b w:val="0"/>
          <w:bCs/>
          <w:color w:val="FF0000"/>
          <w:szCs w:val="21"/>
          <w:lang w:val="en-US" w:eastAsia="zh-CN"/>
        </w:rPr>
        <w:t>拟设置为</w:t>
      </w:r>
      <w:r>
        <w:rPr>
          <w:rFonts w:hint="eastAsia" w:ascii="仿宋" w:hAnsi="仿宋" w:eastAsia="仿宋" w:cs="仿宋"/>
          <w:b w:val="0"/>
          <w:bCs/>
          <w:color w:val="auto"/>
          <w:szCs w:val="21"/>
          <w:lang w:eastAsia="zh-CN"/>
        </w:rPr>
        <w:t>★项参数</w:t>
      </w:r>
      <w:r>
        <w:rPr>
          <w:rFonts w:hint="eastAsia" w:ascii="仿宋" w:hAnsi="仿宋" w:eastAsia="仿宋" w:cs="仿宋"/>
          <w:b w:val="0"/>
          <w:bCs/>
          <w:color w:val="FF0000"/>
          <w:szCs w:val="21"/>
          <w:lang w:val="en-US" w:eastAsia="zh-CN"/>
        </w:rPr>
        <w:t>(</w:t>
      </w:r>
      <w:r>
        <w:rPr>
          <w:rFonts w:hint="eastAsia" w:ascii="仿宋" w:hAnsi="仿宋" w:eastAsia="仿宋" w:cs="仿宋"/>
          <w:b w:val="0"/>
          <w:bCs/>
          <w:color w:val="FF0000"/>
          <w:szCs w:val="21"/>
          <w:lang w:eastAsia="zh-CN"/>
        </w:rPr>
        <w:t>★项标准：</w:t>
      </w:r>
      <w:r>
        <w:rPr>
          <w:rFonts w:hint="eastAsia" w:ascii="仿宋" w:hAnsi="仿宋" w:eastAsia="仿宋" w:cs="仿宋"/>
          <w:b w:val="0"/>
          <w:bCs/>
          <w:color w:val="FF0000"/>
          <w:szCs w:val="21"/>
          <w:lang w:val="en-US" w:eastAsia="zh-CN"/>
        </w:rPr>
        <w:t>拟购设备核心参数指标</w:t>
      </w:r>
      <w:r>
        <w:rPr>
          <w:rFonts w:hint="eastAsia" w:ascii="仿宋" w:hAnsi="仿宋" w:eastAsia="仿宋" w:cs="仿宋"/>
          <w:b/>
          <w:bCs w:val="0"/>
          <w:color w:val="auto"/>
          <w:szCs w:val="21"/>
          <w:lang w:val="en-US" w:eastAsia="zh-CN"/>
        </w:rPr>
        <w:t>【如有不妥，请提出并提供权威部门证明文件，否则不予采纳】)</w:t>
      </w:r>
      <w:r>
        <w:rPr>
          <w:rFonts w:hint="eastAsia" w:ascii="仿宋" w:hAnsi="仿宋" w:eastAsia="仿宋" w:cs="仿宋"/>
          <w:b w:val="0"/>
          <w:bCs/>
          <w:szCs w:val="21"/>
          <w:lang w:eastAsia="zh-CN"/>
        </w:rPr>
        <w:t>要求投标人在投标文件中所提供的证明材料须为</w:t>
      </w:r>
      <w:r>
        <w:rPr>
          <w:rFonts w:hint="eastAsia" w:ascii="仿宋" w:hAnsi="仿宋" w:eastAsia="仿宋" w:cs="仿宋"/>
          <w:b w:val="0"/>
          <w:bCs/>
          <w:color w:val="auto"/>
          <w:sz w:val="21"/>
          <w:szCs w:val="21"/>
        </w:rPr>
        <w:t>政府主管部门</w:t>
      </w:r>
      <w:r>
        <w:rPr>
          <w:rFonts w:hint="eastAsia" w:ascii="仿宋" w:hAnsi="仿宋" w:eastAsia="仿宋" w:cs="仿宋"/>
          <w:b/>
          <w:bCs w:val="0"/>
          <w:color w:val="auto"/>
          <w:sz w:val="21"/>
          <w:szCs w:val="21"/>
          <w:lang w:eastAsia="zh-CN"/>
        </w:rPr>
        <w:t>（</w:t>
      </w:r>
      <w:r>
        <w:rPr>
          <w:rStyle w:val="16"/>
          <w:rFonts w:hint="eastAsia" w:ascii="仿宋" w:hAnsi="仿宋" w:eastAsia="仿宋" w:cs="仿宋"/>
          <w:b/>
          <w:bCs w:val="0"/>
          <w:color w:val="auto"/>
          <w:sz w:val="21"/>
          <w:szCs w:val="21"/>
          <w:lang w:eastAsia="zh-CN"/>
        </w:rPr>
        <w:t>或具备</w:t>
      </w:r>
      <w:r>
        <w:rPr>
          <w:rStyle w:val="16"/>
          <w:rFonts w:hint="eastAsia" w:ascii="仿宋" w:hAnsi="仿宋" w:eastAsia="仿宋" w:cs="仿宋"/>
          <w:b/>
          <w:bCs w:val="0"/>
          <w:color w:val="auto"/>
          <w:sz w:val="21"/>
          <w:szCs w:val="21"/>
          <w:lang w:val="en-US" w:eastAsia="zh-CN"/>
        </w:rPr>
        <w:t>CMA【或CNAS】资质检测机构）</w:t>
      </w:r>
      <w:r>
        <w:rPr>
          <w:rStyle w:val="16"/>
          <w:rFonts w:hint="eastAsia" w:ascii="仿宋" w:hAnsi="仿宋" w:eastAsia="仿宋" w:cs="仿宋"/>
          <w:b w:val="0"/>
          <w:bCs/>
          <w:color w:val="auto"/>
          <w:sz w:val="21"/>
          <w:szCs w:val="21"/>
          <w:lang w:val="en-US" w:eastAsia="zh-CN"/>
        </w:rPr>
        <w:t>出具的</w:t>
      </w:r>
      <w:r>
        <w:rPr>
          <w:rStyle w:val="16"/>
          <w:rFonts w:hint="eastAsia" w:ascii="仿宋" w:hAnsi="仿宋" w:eastAsia="仿宋" w:cs="仿宋"/>
          <w:b w:val="0"/>
          <w:bCs/>
          <w:color w:val="auto"/>
          <w:sz w:val="21"/>
          <w:szCs w:val="21"/>
        </w:rPr>
        <w:t>质检报告原件扫描件</w:t>
      </w:r>
      <w:r>
        <w:rPr>
          <w:rStyle w:val="16"/>
          <w:rFonts w:hint="eastAsia" w:ascii="仿宋" w:hAnsi="仿宋" w:eastAsia="仿宋" w:cs="仿宋"/>
          <w:b w:val="0"/>
          <w:bCs/>
          <w:color w:val="auto"/>
          <w:sz w:val="21"/>
          <w:szCs w:val="21"/>
          <w:lang w:eastAsia="zh-CN"/>
        </w:rPr>
        <w:t>（政府主管部门</w:t>
      </w:r>
      <w:r>
        <w:rPr>
          <w:rFonts w:hint="eastAsia" w:ascii="仿宋" w:hAnsi="仿宋" w:eastAsia="仿宋" w:cs="仿宋"/>
          <w:b w:val="0"/>
          <w:bCs/>
          <w:color w:val="auto"/>
          <w:sz w:val="21"/>
          <w:szCs w:val="21"/>
        </w:rPr>
        <w:t>如</w:t>
      </w:r>
      <w:r>
        <w:rPr>
          <w:rFonts w:hint="eastAsia" w:ascii="仿宋" w:hAnsi="仿宋" w:eastAsia="仿宋" w:cs="仿宋"/>
          <w:b w:val="0"/>
          <w:bCs/>
          <w:color w:val="auto"/>
          <w:sz w:val="21"/>
          <w:szCs w:val="21"/>
          <w:lang w:eastAsia="zh-CN"/>
        </w:rPr>
        <w:t>国家</w:t>
      </w:r>
      <w:r>
        <w:rPr>
          <w:rStyle w:val="16"/>
          <w:rFonts w:hint="eastAsia" w:ascii="仿宋" w:hAnsi="仿宋" w:eastAsia="仿宋" w:cs="仿宋"/>
          <w:b w:val="0"/>
          <w:bCs/>
          <w:color w:val="auto"/>
          <w:sz w:val="21"/>
          <w:szCs w:val="21"/>
        </w:rPr>
        <w:t>食药监局</w:t>
      </w:r>
      <w:r>
        <w:rPr>
          <w:rStyle w:val="16"/>
          <w:rFonts w:hint="eastAsia" w:ascii="仿宋" w:hAnsi="仿宋" w:eastAsia="仿宋" w:cs="仿宋"/>
          <w:b w:val="0"/>
          <w:bCs/>
          <w:color w:val="auto"/>
          <w:sz w:val="21"/>
          <w:szCs w:val="21"/>
          <w:lang w:eastAsia="zh-CN"/>
        </w:rPr>
        <w:t>或</w:t>
      </w:r>
      <w:r>
        <w:rPr>
          <w:rStyle w:val="16"/>
          <w:rFonts w:hint="eastAsia" w:ascii="仿宋" w:hAnsi="仿宋" w:eastAsia="仿宋" w:cs="仿宋"/>
          <w:b w:val="0"/>
          <w:bCs/>
          <w:color w:val="auto"/>
          <w:sz w:val="21"/>
          <w:szCs w:val="21"/>
        </w:rPr>
        <w:t>其下属单位</w:t>
      </w:r>
      <w:r>
        <w:rPr>
          <w:rStyle w:val="16"/>
          <w:rFonts w:hint="eastAsia" w:ascii="仿宋" w:hAnsi="仿宋" w:eastAsia="仿宋" w:cs="仿宋"/>
          <w:b w:val="0"/>
          <w:bCs/>
          <w:color w:val="auto"/>
          <w:sz w:val="21"/>
          <w:szCs w:val="21"/>
          <w:lang w:eastAsia="zh-CN"/>
        </w:rPr>
        <w:t>或省级医疗器械检验机构或省级食品药品检验机构等）。</w:t>
      </w:r>
    </w:p>
    <w:p w14:paraId="7F480D95">
      <w:pPr>
        <w:keepNext w:val="0"/>
        <w:keepLines w:val="0"/>
        <w:pageBreakBefore w:val="0"/>
        <w:widowControl w:val="0"/>
        <w:kinsoku/>
        <w:wordWrap/>
        <w:overflowPunct/>
        <w:topLinePunct w:val="0"/>
        <w:autoSpaceDE/>
        <w:autoSpaceDN/>
        <w:bidi w:val="0"/>
        <w:adjustRightInd/>
        <w:snapToGrid/>
        <w:spacing w:line="300" w:lineRule="exact"/>
        <w:ind w:firstLine="420" w:firstLineChars="200"/>
        <w:textAlignment w:val="auto"/>
        <w:rPr>
          <w:rFonts w:hint="eastAsia" w:ascii="仿宋" w:hAnsi="仿宋" w:eastAsia="仿宋"/>
          <w:b w:val="0"/>
          <w:bCs/>
          <w:szCs w:val="21"/>
          <w:lang w:val="en-US" w:eastAsia="zh-CN"/>
        </w:rPr>
      </w:pPr>
      <w:r>
        <w:rPr>
          <w:rFonts w:hint="eastAsia" w:ascii="仿宋" w:hAnsi="仿宋" w:eastAsia="仿宋"/>
          <w:b w:val="0"/>
          <w:bCs/>
          <w:szCs w:val="21"/>
          <w:lang w:eastAsia="zh-CN"/>
        </w:rPr>
        <w:t>附件：表</w:t>
      </w:r>
      <w:r>
        <w:rPr>
          <w:rFonts w:hint="eastAsia" w:ascii="仿宋" w:hAnsi="仿宋" w:eastAsia="仿宋"/>
          <w:b w:val="0"/>
          <w:bCs/>
          <w:szCs w:val="21"/>
          <w:lang w:val="en-US" w:eastAsia="zh-CN"/>
        </w:rPr>
        <w:t>1-4</w:t>
      </w:r>
    </w:p>
    <w:p w14:paraId="2B28A5FB">
      <w:pPr>
        <w:spacing w:line="320" w:lineRule="exact"/>
        <w:rPr>
          <w:rFonts w:hint="eastAsia" w:asciiTheme="minorEastAsia" w:hAnsiTheme="minorEastAsia" w:eastAsiaTheme="minorEastAsia" w:cstheme="minorEastAsia"/>
          <w:b/>
          <w:szCs w:val="21"/>
          <w:lang w:val="en-US" w:eastAsia="zh-CN"/>
        </w:rPr>
      </w:pPr>
      <w:r>
        <w:rPr>
          <w:rFonts w:hint="eastAsia" w:asciiTheme="minorEastAsia" w:hAnsiTheme="minorEastAsia" w:eastAsiaTheme="minorEastAsia" w:cstheme="minorEastAsia"/>
          <w:b/>
          <w:szCs w:val="21"/>
          <w:lang w:val="en-US" w:eastAsia="zh-CN"/>
        </w:rPr>
        <w:t>建设目标：</w:t>
      </w:r>
    </w:p>
    <w:p w14:paraId="5BD5BF6C">
      <w:pPr>
        <w:spacing w:line="320" w:lineRule="exact"/>
        <w:rPr>
          <w:rFonts w:hint="eastAsia" w:asciiTheme="minorEastAsia" w:hAnsiTheme="minorEastAsia" w:eastAsiaTheme="minorEastAsia" w:cstheme="minorEastAsia"/>
          <w:b/>
          <w:bCs w:val="0"/>
          <w:szCs w:val="21"/>
          <w:lang w:eastAsia="zh-CN"/>
        </w:rPr>
      </w:pPr>
      <w:r>
        <w:rPr>
          <w:rFonts w:hint="eastAsia" w:asciiTheme="minorEastAsia" w:hAnsiTheme="minorEastAsia" w:cstheme="minorEastAsia"/>
          <w:b/>
          <w:bCs w:val="0"/>
          <w:szCs w:val="21"/>
          <w:lang w:val="en-US" w:eastAsia="zh-CN"/>
        </w:rPr>
        <w:t>1、项目</w:t>
      </w:r>
      <w:r>
        <w:rPr>
          <w:rFonts w:hint="eastAsia" w:asciiTheme="minorEastAsia" w:hAnsiTheme="minorEastAsia" w:eastAsiaTheme="minorEastAsia" w:cstheme="minorEastAsia"/>
          <w:b/>
          <w:bCs w:val="0"/>
          <w:szCs w:val="21"/>
        </w:rPr>
        <w:t>建设需与院内信息系统数据接口打通，实现临床康复数据互联互通</w:t>
      </w:r>
      <w:r>
        <w:rPr>
          <w:rFonts w:hint="eastAsia" w:asciiTheme="minorEastAsia" w:hAnsiTheme="minorEastAsia" w:cstheme="minorEastAsia"/>
          <w:b/>
          <w:bCs w:val="0"/>
          <w:szCs w:val="21"/>
          <w:lang w:val="en-US" w:eastAsia="zh-CN"/>
        </w:rPr>
        <w:t>。同时满足</w:t>
      </w:r>
      <w:r>
        <w:rPr>
          <w:rFonts w:hint="eastAsia" w:asciiTheme="minorEastAsia" w:hAnsiTheme="minorEastAsia" w:eastAsiaTheme="minorEastAsia" w:cstheme="minorEastAsia"/>
          <w:b/>
          <w:bCs w:val="0"/>
          <w:szCs w:val="21"/>
          <w:lang w:eastAsia="zh-CN"/>
        </w:rPr>
        <w:t>《国家医疗健康信息区域卫生（医院）信息互联互通标准化成熟度测评方案（2020年版）》四级甲等建设；</w:t>
      </w:r>
    </w:p>
    <w:p w14:paraId="6A8FBA44">
      <w:pPr>
        <w:spacing w:line="320" w:lineRule="exact"/>
        <w:rPr>
          <w:rFonts w:hint="eastAsia" w:asciiTheme="minorEastAsia" w:hAnsiTheme="minorEastAsia" w:eastAsiaTheme="minorEastAsia" w:cstheme="minorEastAsia"/>
          <w:b/>
          <w:bCs w:val="0"/>
          <w:szCs w:val="21"/>
          <w:lang w:eastAsia="zh-CN"/>
        </w:rPr>
      </w:pPr>
      <w:r>
        <w:rPr>
          <w:rFonts w:hint="eastAsia" w:asciiTheme="minorEastAsia" w:hAnsiTheme="minorEastAsia" w:cstheme="minorEastAsia"/>
          <w:b/>
          <w:bCs w:val="0"/>
          <w:szCs w:val="21"/>
          <w:lang w:val="en-US" w:eastAsia="zh-CN"/>
        </w:rPr>
        <w:t>2、</w:t>
      </w:r>
      <w:r>
        <w:rPr>
          <w:rFonts w:hint="eastAsia" w:asciiTheme="minorEastAsia" w:hAnsiTheme="minorEastAsia" w:eastAsiaTheme="minorEastAsia" w:cstheme="minorEastAsia"/>
          <w:b/>
          <w:bCs w:val="0"/>
          <w:szCs w:val="21"/>
        </w:rPr>
        <w:t>系统建设辅助管理者“掌控”科室运用，优化科室管理</w:t>
      </w:r>
      <w:r>
        <w:rPr>
          <w:rFonts w:hint="eastAsia" w:asciiTheme="minorEastAsia" w:hAnsiTheme="minorEastAsia" w:cstheme="minorEastAsia"/>
          <w:b/>
          <w:bCs w:val="0"/>
          <w:szCs w:val="21"/>
          <w:lang w:eastAsia="zh-CN"/>
        </w:rPr>
        <w:t>；</w:t>
      </w:r>
    </w:p>
    <w:p w14:paraId="65AAC713">
      <w:pPr>
        <w:spacing w:line="320" w:lineRule="exact"/>
        <w:rPr>
          <w:rFonts w:hint="eastAsia" w:asciiTheme="minorEastAsia" w:hAnsiTheme="minorEastAsia" w:eastAsiaTheme="minorEastAsia" w:cstheme="minorEastAsia"/>
          <w:b/>
          <w:bCs w:val="0"/>
          <w:szCs w:val="21"/>
          <w:lang w:eastAsia="zh-CN"/>
        </w:rPr>
      </w:pPr>
      <w:r>
        <w:rPr>
          <w:rFonts w:hint="eastAsia" w:asciiTheme="minorEastAsia" w:hAnsiTheme="minorEastAsia" w:cstheme="minorEastAsia"/>
          <w:b/>
          <w:bCs w:val="0"/>
          <w:szCs w:val="21"/>
          <w:lang w:val="en-US" w:eastAsia="zh-CN"/>
        </w:rPr>
        <w:t>3、</w:t>
      </w:r>
      <w:r>
        <w:rPr>
          <w:rFonts w:hint="eastAsia" w:asciiTheme="minorEastAsia" w:hAnsiTheme="minorEastAsia" w:eastAsiaTheme="minorEastAsia" w:cstheme="minorEastAsia"/>
          <w:b/>
          <w:bCs w:val="0"/>
          <w:szCs w:val="21"/>
        </w:rPr>
        <w:t>系统建设</w:t>
      </w:r>
      <w:r>
        <w:rPr>
          <w:rFonts w:hint="eastAsia" w:asciiTheme="minorEastAsia" w:hAnsiTheme="minorEastAsia" w:cstheme="minorEastAsia"/>
          <w:b/>
          <w:bCs w:val="0"/>
          <w:szCs w:val="21"/>
          <w:lang w:val="en-US" w:eastAsia="zh-CN"/>
        </w:rPr>
        <w:t>满足</w:t>
      </w:r>
      <w:r>
        <w:rPr>
          <w:rFonts w:hint="eastAsia" w:asciiTheme="minorEastAsia" w:hAnsiTheme="minorEastAsia" w:eastAsiaTheme="minorEastAsia" w:cstheme="minorEastAsia"/>
          <w:b/>
          <w:bCs w:val="0"/>
          <w:szCs w:val="21"/>
          <w:lang w:eastAsia="zh-CN"/>
        </w:rPr>
        <w:t>《电子病历系统功能应用水平分级评价方法及标准（试行）》五级要求建设；</w:t>
      </w:r>
    </w:p>
    <w:p w14:paraId="2DEFFD4A">
      <w:pPr>
        <w:spacing w:line="320" w:lineRule="exact"/>
        <w:rPr>
          <w:rFonts w:hint="eastAsia" w:asciiTheme="minorEastAsia" w:hAnsiTheme="minorEastAsia" w:eastAsiaTheme="minorEastAsia" w:cstheme="minorEastAsia"/>
          <w:b/>
          <w:bCs w:val="0"/>
          <w:szCs w:val="21"/>
          <w:lang w:eastAsia="zh-CN"/>
        </w:rPr>
      </w:pPr>
      <w:r>
        <w:rPr>
          <w:rFonts w:hint="eastAsia" w:asciiTheme="minorEastAsia" w:hAnsiTheme="minorEastAsia" w:cstheme="minorEastAsia"/>
          <w:b/>
          <w:bCs w:val="0"/>
          <w:szCs w:val="21"/>
          <w:lang w:val="en-US" w:eastAsia="zh-CN"/>
        </w:rPr>
        <w:t>4</w:t>
      </w:r>
      <w:r>
        <w:rPr>
          <w:rFonts w:hint="eastAsia" w:asciiTheme="minorEastAsia" w:hAnsiTheme="minorEastAsia" w:eastAsiaTheme="minorEastAsia" w:cstheme="minorEastAsia"/>
          <w:b/>
          <w:bCs w:val="0"/>
          <w:szCs w:val="21"/>
          <w:lang w:eastAsia="zh-CN"/>
        </w:rPr>
        <w:t>、参照《医院智慧服务分级评估标准体系（试行）》三级要求建设；</w:t>
      </w:r>
    </w:p>
    <w:p w14:paraId="0FE51EB5">
      <w:pPr>
        <w:spacing w:line="320" w:lineRule="exact"/>
        <w:rPr>
          <w:rFonts w:hint="eastAsia" w:asciiTheme="minorEastAsia" w:hAnsiTheme="minorEastAsia" w:eastAsiaTheme="minorEastAsia" w:cstheme="minorEastAsia"/>
          <w:b/>
          <w:bCs w:val="0"/>
          <w:szCs w:val="21"/>
          <w:lang w:eastAsia="zh-CN"/>
        </w:rPr>
      </w:pPr>
      <w:r>
        <w:rPr>
          <w:rFonts w:hint="eastAsia" w:asciiTheme="minorEastAsia" w:hAnsiTheme="minorEastAsia" w:cstheme="minorEastAsia"/>
          <w:b/>
          <w:bCs w:val="0"/>
          <w:szCs w:val="21"/>
          <w:lang w:val="en-US" w:eastAsia="zh-CN"/>
        </w:rPr>
        <w:t>5</w:t>
      </w:r>
      <w:r>
        <w:rPr>
          <w:rFonts w:hint="eastAsia" w:asciiTheme="minorEastAsia" w:hAnsiTheme="minorEastAsia" w:eastAsiaTheme="minorEastAsia" w:cstheme="minorEastAsia"/>
          <w:b/>
          <w:bCs w:val="0"/>
          <w:szCs w:val="21"/>
          <w:lang w:eastAsia="zh-CN"/>
        </w:rPr>
        <w:t>、参照《医院智慧管理分级评估标准体系（试行）》三级要求建设；</w:t>
      </w:r>
    </w:p>
    <w:p w14:paraId="49F648C2">
      <w:pPr>
        <w:spacing w:line="320" w:lineRule="exact"/>
        <w:rPr>
          <w:rFonts w:hint="eastAsia" w:asciiTheme="minorEastAsia" w:hAnsiTheme="minorEastAsia" w:eastAsiaTheme="minorEastAsia" w:cstheme="minorEastAsia"/>
          <w:b/>
          <w:bCs w:val="0"/>
          <w:szCs w:val="21"/>
          <w:lang w:eastAsia="zh-CN"/>
        </w:rPr>
      </w:pPr>
      <w:r>
        <w:rPr>
          <w:rFonts w:hint="eastAsia" w:asciiTheme="minorEastAsia" w:hAnsiTheme="minorEastAsia" w:cstheme="minorEastAsia"/>
          <w:b/>
          <w:bCs w:val="0"/>
          <w:szCs w:val="21"/>
          <w:lang w:val="en-US" w:eastAsia="zh-CN"/>
        </w:rPr>
        <w:t>6</w:t>
      </w:r>
      <w:r>
        <w:rPr>
          <w:rFonts w:hint="eastAsia" w:asciiTheme="minorEastAsia" w:hAnsiTheme="minorEastAsia" w:eastAsiaTheme="minorEastAsia" w:cstheme="minorEastAsia"/>
          <w:b/>
          <w:bCs w:val="0"/>
          <w:szCs w:val="21"/>
          <w:lang w:eastAsia="zh-CN"/>
        </w:rPr>
        <w:t>、达到《信息安全技术信息系统安全等级保护基本要求》（GB/T22239-2019）三级要求；</w:t>
      </w:r>
    </w:p>
    <w:p w14:paraId="7290A970">
      <w:pPr>
        <w:spacing w:line="320" w:lineRule="exact"/>
        <w:rPr>
          <w:rFonts w:hint="eastAsia" w:asciiTheme="minorEastAsia" w:hAnsiTheme="minorEastAsia" w:eastAsiaTheme="minorEastAsia" w:cstheme="minorEastAsia"/>
          <w:b/>
          <w:bCs w:val="0"/>
          <w:szCs w:val="21"/>
          <w:lang w:eastAsia="zh-CN"/>
        </w:rPr>
      </w:pPr>
      <w:r>
        <w:rPr>
          <w:rFonts w:hint="eastAsia" w:asciiTheme="minorEastAsia" w:hAnsiTheme="minorEastAsia" w:cstheme="minorEastAsia"/>
          <w:b/>
          <w:bCs w:val="0"/>
          <w:szCs w:val="21"/>
          <w:lang w:val="en-US" w:eastAsia="zh-CN"/>
        </w:rPr>
        <w:t>7</w:t>
      </w:r>
      <w:r>
        <w:rPr>
          <w:rFonts w:hint="eastAsia" w:asciiTheme="minorEastAsia" w:hAnsiTheme="minorEastAsia" w:eastAsiaTheme="minorEastAsia" w:cstheme="minorEastAsia"/>
          <w:b/>
          <w:bCs w:val="0"/>
          <w:szCs w:val="21"/>
          <w:lang w:eastAsia="zh-CN"/>
        </w:rPr>
        <w:t>、支持满足国家信息技术应用创新测试的操作系统和数据库等软件环境部署；</w:t>
      </w:r>
    </w:p>
    <w:p w14:paraId="377213B8">
      <w:pPr>
        <w:spacing w:line="320" w:lineRule="exact"/>
        <w:rPr>
          <w:rFonts w:hint="eastAsia" w:asciiTheme="minorEastAsia" w:hAnsiTheme="minorEastAsia" w:eastAsiaTheme="minorEastAsia" w:cstheme="minorEastAsia"/>
          <w:b/>
          <w:bCs w:val="0"/>
          <w:szCs w:val="21"/>
          <w:lang w:eastAsia="zh-CN"/>
        </w:rPr>
      </w:pPr>
      <w:r>
        <w:rPr>
          <w:rFonts w:hint="eastAsia" w:asciiTheme="minorEastAsia" w:hAnsiTheme="minorEastAsia" w:cstheme="minorEastAsia"/>
          <w:b/>
          <w:bCs w:val="0"/>
          <w:szCs w:val="21"/>
          <w:lang w:val="en-US" w:eastAsia="zh-CN"/>
        </w:rPr>
        <w:t>8</w:t>
      </w:r>
      <w:r>
        <w:rPr>
          <w:rFonts w:hint="eastAsia" w:asciiTheme="minorEastAsia" w:hAnsiTheme="minorEastAsia" w:eastAsiaTheme="minorEastAsia" w:cstheme="minorEastAsia"/>
          <w:b/>
          <w:bCs w:val="0"/>
          <w:szCs w:val="21"/>
          <w:lang w:eastAsia="zh-CN"/>
        </w:rPr>
        <w:t>、需免费配合我院后期密评工作；</w:t>
      </w:r>
    </w:p>
    <w:p w14:paraId="69E44DF1">
      <w:pPr>
        <w:spacing w:line="320" w:lineRule="exact"/>
        <w:rPr>
          <w:rFonts w:hint="eastAsia" w:ascii="仿宋" w:hAnsi="仿宋" w:eastAsia="仿宋"/>
          <w:b/>
          <w:szCs w:val="21"/>
          <w:lang w:val="en-US" w:eastAsia="zh-CN"/>
        </w:rPr>
      </w:pPr>
      <w:r>
        <w:rPr>
          <w:rFonts w:hint="eastAsia" w:asciiTheme="minorEastAsia" w:hAnsiTheme="minorEastAsia" w:cstheme="minorEastAsia"/>
          <w:b/>
          <w:bCs w:val="0"/>
          <w:szCs w:val="21"/>
          <w:lang w:val="en-US" w:eastAsia="zh-CN"/>
        </w:rPr>
        <w:t>9</w:t>
      </w:r>
      <w:r>
        <w:rPr>
          <w:rFonts w:hint="eastAsia" w:asciiTheme="minorEastAsia" w:hAnsiTheme="minorEastAsia" w:eastAsiaTheme="minorEastAsia" w:cstheme="minorEastAsia"/>
          <w:b/>
          <w:bCs w:val="0"/>
          <w:szCs w:val="21"/>
          <w:lang w:eastAsia="zh-CN"/>
        </w:rPr>
        <w:t>、提供定制化开发服务，满足医院个性化需求。</w:t>
      </w:r>
    </w:p>
    <w:p w14:paraId="58452636">
      <w:pPr>
        <w:spacing w:line="320" w:lineRule="exact"/>
        <w:rPr>
          <w:rFonts w:hint="eastAsia" w:ascii="仿宋" w:hAnsi="仿宋" w:eastAsia="仿宋"/>
          <w:b/>
          <w:szCs w:val="21"/>
          <w:lang w:val="en-US" w:eastAsia="zh-CN"/>
        </w:rPr>
      </w:pPr>
    </w:p>
    <w:p w14:paraId="311E23A6">
      <w:pPr>
        <w:spacing w:line="320" w:lineRule="exact"/>
        <w:rPr>
          <w:rFonts w:hint="eastAsia" w:ascii="仿宋" w:hAnsi="仿宋" w:eastAsia="仿宋"/>
          <w:b/>
          <w:szCs w:val="21"/>
          <w:lang w:val="en-US" w:eastAsia="zh-CN"/>
        </w:rPr>
      </w:pPr>
    </w:p>
    <w:p w14:paraId="488FC063">
      <w:pPr>
        <w:spacing w:line="320" w:lineRule="exact"/>
        <w:rPr>
          <w:rFonts w:hint="eastAsia" w:ascii="仿宋" w:hAnsi="仿宋" w:eastAsia="仿宋"/>
          <w:b/>
          <w:szCs w:val="21"/>
          <w:lang w:val="en-US" w:eastAsia="zh-CN"/>
        </w:rPr>
      </w:pPr>
    </w:p>
    <w:p w14:paraId="438C89E7">
      <w:pPr>
        <w:spacing w:line="320" w:lineRule="exact"/>
        <w:rPr>
          <w:rFonts w:hint="eastAsia" w:ascii="仿宋" w:hAnsi="仿宋" w:eastAsia="仿宋"/>
          <w:b/>
          <w:szCs w:val="21"/>
          <w:lang w:val="en-US" w:eastAsia="zh-CN"/>
        </w:rPr>
      </w:pPr>
    </w:p>
    <w:p w14:paraId="292A8048">
      <w:pPr>
        <w:spacing w:line="320" w:lineRule="exact"/>
        <w:rPr>
          <w:rFonts w:hint="eastAsia" w:ascii="仿宋" w:hAnsi="仿宋" w:eastAsia="仿宋"/>
          <w:b/>
          <w:szCs w:val="21"/>
          <w:lang w:val="en-US" w:eastAsia="zh-CN"/>
        </w:rPr>
      </w:pPr>
    </w:p>
    <w:p w14:paraId="3F7CB121">
      <w:pPr>
        <w:spacing w:line="320" w:lineRule="exact"/>
        <w:rPr>
          <w:rFonts w:hint="eastAsia" w:ascii="仿宋" w:hAnsi="仿宋" w:eastAsia="仿宋"/>
          <w:b/>
          <w:szCs w:val="21"/>
          <w:lang w:val="en-US" w:eastAsia="zh-CN"/>
        </w:rPr>
      </w:pPr>
    </w:p>
    <w:p w14:paraId="1ACE97B8">
      <w:pPr>
        <w:spacing w:line="320" w:lineRule="exact"/>
        <w:rPr>
          <w:rFonts w:hint="eastAsia" w:ascii="仿宋" w:hAnsi="仿宋" w:eastAsia="仿宋"/>
          <w:b/>
          <w:szCs w:val="21"/>
          <w:lang w:val="en-US" w:eastAsia="zh-CN"/>
        </w:rPr>
      </w:pPr>
    </w:p>
    <w:p w14:paraId="02A90376">
      <w:pPr>
        <w:spacing w:line="320" w:lineRule="exact"/>
        <w:rPr>
          <w:rFonts w:hint="eastAsia" w:ascii="仿宋" w:hAnsi="仿宋" w:eastAsia="仿宋"/>
          <w:b/>
          <w:szCs w:val="21"/>
          <w:lang w:val="en-US" w:eastAsia="zh-CN"/>
        </w:rPr>
      </w:pPr>
    </w:p>
    <w:p w14:paraId="1901C3C1">
      <w:pPr>
        <w:spacing w:line="320" w:lineRule="exact"/>
        <w:rPr>
          <w:rFonts w:hint="eastAsia" w:ascii="仿宋" w:hAnsi="仿宋" w:eastAsia="仿宋"/>
          <w:b/>
          <w:szCs w:val="21"/>
          <w:lang w:val="en-US" w:eastAsia="zh-CN"/>
        </w:rPr>
      </w:pPr>
    </w:p>
    <w:p w14:paraId="2C0E6202">
      <w:pPr>
        <w:spacing w:line="320" w:lineRule="exact"/>
        <w:rPr>
          <w:rFonts w:hint="eastAsia" w:asciiTheme="minorEastAsia" w:hAnsiTheme="minorEastAsia" w:eastAsiaTheme="minorEastAsia" w:cstheme="minorEastAsia"/>
          <w:b w:val="0"/>
          <w:bCs/>
          <w:szCs w:val="21"/>
          <w:lang w:eastAsia="zh-CN"/>
        </w:rPr>
      </w:pPr>
      <w:r>
        <w:rPr>
          <w:rFonts w:hint="eastAsia" w:ascii="仿宋" w:hAnsi="仿宋" w:eastAsia="仿宋"/>
          <w:b/>
          <w:szCs w:val="21"/>
          <w:lang w:val="en-US" w:eastAsia="zh-CN"/>
        </w:rPr>
        <w:t>附件</w:t>
      </w:r>
      <w:r>
        <w:rPr>
          <w:rFonts w:hint="eastAsia" w:ascii="仿宋" w:hAnsi="仿宋" w:eastAsia="仿宋"/>
          <w:b/>
          <w:szCs w:val="21"/>
        </w:rPr>
        <w:t>：拟购项目初步参数结构</w:t>
      </w:r>
    </w:p>
    <w:tbl>
      <w:tblPr>
        <w:tblStyle w:val="10"/>
        <w:tblW w:w="98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4"/>
        <w:gridCol w:w="1179"/>
        <w:gridCol w:w="4278"/>
        <w:gridCol w:w="785"/>
        <w:gridCol w:w="861"/>
        <w:gridCol w:w="1034"/>
        <w:gridCol w:w="1031"/>
      </w:tblGrid>
      <w:tr w14:paraId="3F11D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26" w:type="dxa"/>
            <w:gridSpan w:val="4"/>
            <w:tcBorders>
              <w:top w:val="single" w:color="auto" w:sz="4" w:space="0"/>
              <w:left w:val="single" w:color="auto" w:sz="4" w:space="0"/>
              <w:bottom w:val="single" w:color="auto" w:sz="4" w:space="0"/>
              <w:right w:val="single" w:color="auto" w:sz="4" w:space="0"/>
            </w:tcBorders>
            <w:noWrap w:val="0"/>
            <w:vAlign w:val="center"/>
          </w:tcPr>
          <w:p w14:paraId="78D8EA30">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本项目初步参数拟设置情况</w:t>
            </w:r>
          </w:p>
        </w:tc>
        <w:tc>
          <w:tcPr>
            <w:tcW w:w="861" w:type="dxa"/>
            <w:vMerge w:val="restart"/>
            <w:tcBorders>
              <w:top w:val="single" w:color="auto" w:sz="4" w:space="0"/>
              <w:left w:val="single" w:color="auto" w:sz="4" w:space="0"/>
              <w:right w:val="single" w:color="auto" w:sz="4" w:space="0"/>
            </w:tcBorders>
            <w:noWrap w:val="0"/>
            <w:vAlign w:val="center"/>
          </w:tcPr>
          <w:p w14:paraId="4CC69952">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响应情况</w:t>
            </w:r>
          </w:p>
        </w:tc>
        <w:tc>
          <w:tcPr>
            <w:tcW w:w="1034" w:type="dxa"/>
            <w:vMerge w:val="restart"/>
            <w:tcBorders>
              <w:top w:val="single" w:color="auto" w:sz="4" w:space="0"/>
              <w:left w:val="single" w:color="auto" w:sz="4" w:space="0"/>
              <w:right w:val="single" w:color="auto" w:sz="4" w:space="0"/>
            </w:tcBorders>
            <w:noWrap w:val="0"/>
            <w:vAlign w:val="center"/>
          </w:tcPr>
          <w:p w14:paraId="000FE750">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建议修改指标</w:t>
            </w:r>
          </w:p>
        </w:tc>
        <w:tc>
          <w:tcPr>
            <w:tcW w:w="1031" w:type="dxa"/>
            <w:vMerge w:val="restart"/>
            <w:tcBorders>
              <w:top w:val="single" w:color="auto" w:sz="4" w:space="0"/>
              <w:left w:val="single" w:color="auto" w:sz="4" w:space="0"/>
              <w:right w:val="single" w:color="auto" w:sz="4" w:space="0"/>
            </w:tcBorders>
            <w:noWrap w:val="0"/>
            <w:vAlign w:val="top"/>
          </w:tcPr>
          <w:p w14:paraId="26C2F43A">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备注（真实指标、是否独家、是否提供有效检测报告）</w:t>
            </w:r>
          </w:p>
        </w:tc>
      </w:tr>
      <w:tr w14:paraId="3E1F8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5" w:hRule="atLeast"/>
          <w:jc w:val="center"/>
        </w:trPr>
        <w:tc>
          <w:tcPr>
            <w:tcW w:w="684" w:type="dxa"/>
            <w:tcBorders>
              <w:top w:val="single" w:color="auto" w:sz="4" w:space="0"/>
              <w:left w:val="single" w:color="auto" w:sz="4" w:space="0"/>
              <w:bottom w:val="single" w:color="auto" w:sz="4" w:space="0"/>
              <w:right w:val="single" w:color="auto" w:sz="4" w:space="0"/>
            </w:tcBorders>
            <w:noWrap w:val="0"/>
            <w:vAlign w:val="center"/>
          </w:tcPr>
          <w:p w14:paraId="5843AEFC">
            <w:pPr>
              <w:pStyle w:val="17"/>
              <w:widowControl/>
              <w:kinsoku w:val="0"/>
              <w:overflowPunct w:val="0"/>
              <w:spacing w:line="400" w:lineRule="exact"/>
              <w:rPr>
                <w:rFonts w:hint="default"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序号</w:t>
            </w:r>
          </w:p>
        </w:tc>
        <w:tc>
          <w:tcPr>
            <w:tcW w:w="1179" w:type="dxa"/>
            <w:tcBorders>
              <w:top w:val="single" w:color="auto" w:sz="4" w:space="0"/>
              <w:left w:val="single" w:color="auto" w:sz="4" w:space="0"/>
              <w:bottom w:val="single" w:color="auto" w:sz="4" w:space="0"/>
              <w:right w:val="single" w:color="auto" w:sz="4" w:space="0"/>
            </w:tcBorders>
            <w:noWrap w:val="0"/>
            <w:vAlign w:val="center"/>
          </w:tcPr>
          <w:p w14:paraId="6B36F683">
            <w:pPr>
              <w:pStyle w:val="17"/>
              <w:widowControl/>
              <w:kinsoku w:val="0"/>
              <w:overflowPunct w:val="0"/>
              <w:spacing w:line="400" w:lineRule="exact"/>
              <w:jc w:val="center"/>
              <w:rPr>
                <w:rFonts w:hint="default"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系统模块</w:t>
            </w:r>
          </w:p>
        </w:tc>
        <w:tc>
          <w:tcPr>
            <w:tcW w:w="4278" w:type="dxa"/>
            <w:tcBorders>
              <w:top w:val="single" w:color="auto" w:sz="4" w:space="0"/>
              <w:left w:val="single" w:color="auto" w:sz="4" w:space="0"/>
              <w:bottom w:val="single" w:color="auto" w:sz="4" w:space="0"/>
              <w:right w:val="single" w:color="auto" w:sz="4" w:space="0"/>
            </w:tcBorders>
            <w:noWrap w:val="0"/>
            <w:vAlign w:val="top"/>
          </w:tcPr>
          <w:p w14:paraId="46939BB3">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初步参数设置情况</w:t>
            </w:r>
          </w:p>
        </w:tc>
        <w:tc>
          <w:tcPr>
            <w:tcW w:w="785" w:type="dxa"/>
            <w:tcBorders>
              <w:top w:val="single" w:color="auto" w:sz="4" w:space="0"/>
              <w:left w:val="single" w:color="auto" w:sz="4" w:space="0"/>
              <w:bottom w:val="single" w:color="auto" w:sz="4" w:space="0"/>
              <w:right w:val="single" w:color="auto" w:sz="4" w:space="0"/>
            </w:tcBorders>
            <w:noWrap w:val="0"/>
            <w:vAlign w:val="top"/>
          </w:tcPr>
          <w:p w14:paraId="4E2CD854">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是否设置为为★</w:t>
            </w:r>
          </w:p>
        </w:tc>
        <w:tc>
          <w:tcPr>
            <w:tcW w:w="861" w:type="dxa"/>
            <w:vMerge w:val="continue"/>
            <w:tcBorders>
              <w:left w:val="single" w:color="auto" w:sz="4" w:space="0"/>
              <w:right w:val="single" w:color="auto" w:sz="4" w:space="0"/>
            </w:tcBorders>
            <w:noWrap w:val="0"/>
            <w:vAlign w:val="center"/>
          </w:tcPr>
          <w:p w14:paraId="36A596C2">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vMerge w:val="continue"/>
            <w:tcBorders>
              <w:left w:val="single" w:color="auto" w:sz="4" w:space="0"/>
              <w:right w:val="single" w:color="auto" w:sz="4" w:space="0"/>
            </w:tcBorders>
            <w:noWrap w:val="0"/>
            <w:vAlign w:val="center"/>
          </w:tcPr>
          <w:p w14:paraId="4E66F3B1">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vMerge w:val="continue"/>
            <w:tcBorders>
              <w:left w:val="single" w:color="auto" w:sz="4" w:space="0"/>
              <w:right w:val="single" w:color="auto" w:sz="4" w:space="0"/>
            </w:tcBorders>
            <w:noWrap w:val="0"/>
            <w:vAlign w:val="top"/>
          </w:tcPr>
          <w:p w14:paraId="079D189C">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63BD9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84" w:type="dxa"/>
            <w:tcBorders>
              <w:top w:val="single" w:color="auto" w:sz="4" w:space="0"/>
              <w:left w:val="single" w:color="auto" w:sz="4" w:space="0"/>
              <w:bottom w:val="single" w:color="auto" w:sz="4" w:space="0"/>
              <w:right w:val="single" w:color="auto" w:sz="4" w:space="0"/>
            </w:tcBorders>
            <w:noWrap w:val="0"/>
            <w:vAlign w:val="center"/>
          </w:tcPr>
          <w:p w14:paraId="0A945F4A">
            <w:pPr>
              <w:pStyle w:val="17"/>
              <w:widowControl/>
              <w:kinsoku w:val="0"/>
              <w:overflowPunct w:val="0"/>
              <w:spacing w:line="400" w:lineRule="exact"/>
              <w:rPr>
                <w:rFonts w:hint="default"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w:t>
            </w:r>
          </w:p>
        </w:tc>
        <w:tc>
          <w:tcPr>
            <w:tcW w:w="1179" w:type="dxa"/>
            <w:tcBorders>
              <w:top w:val="single" w:color="auto" w:sz="4" w:space="0"/>
              <w:left w:val="single" w:color="auto" w:sz="4" w:space="0"/>
              <w:bottom w:val="single" w:color="auto" w:sz="4" w:space="0"/>
              <w:right w:val="single" w:color="auto" w:sz="4" w:space="0"/>
            </w:tcBorders>
            <w:noWrap w:val="0"/>
            <w:vAlign w:val="center"/>
          </w:tcPr>
          <w:p w14:paraId="3C7994C1">
            <w:pPr>
              <w:pStyle w:val="17"/>
              <w:keepNext w:val="0"/>
              <w:keepLines w:val="0"/>
              <w:widowControl/>
              <w:suppressLineNumbers w:val="0"/>
              <w:kinsoku w:val="0"/>
              <w:overflowPunct w:val="0"/>
              <w:spacing w:before="0" w:beforeAutospacing="0" w:after="0" w:afterAutospacing="0" w:line="400" w:lineRule="exact"/>
              <w:ind w:right="0" w:rightChars="0"/>
              <w:jc w:val="center"/>
              <w:rPr>
                <w:rFonts w:hint="eastAsia" w:ascii="仿宋" w:hAnsi="仿宋" w:eastAsia="仿宋" w:cstheme="minorBidi"/>
                <w:bCs/>
                <w:kern w:val="2"/>
                <w:sz w:val="21"/>
                <w:szCs w:val="21"/>
                <w:lang w:val="en-US" w:eastAsia="zh-CN" w:bidi="ar-SA"/>
              </w:rPr>
            </w:pPr>
            <w:r>
              <w:rPr>
                <w:rFonts w:hint="eastAsia" w:ascii="黑体" w:hAnsi="黑体" w:eastAsia="黑体" w:cs="黑体"/>
                <w:bCs/>
                <w:kern w:val="2"/>
                <w:sz w:val="22"/>
                <w:szCs w:val="22"/>
                <w:lang w:val="en-US" w:eastAsia="zh-CN" w:bidi="ar-SA"/>
              </w:rPr>
              <w:t>总体技术要求</w:t>
            </w:r>
          </w:p>
        </w:tc>
        <w:tc>
          <w:tcPr>
            <w:tcW w:w="4278" w:type="dxa"/>
            <w:tcBorders>
              <w:top w:val="single" w:color="auto" w:sz="4" w:space="0"/>
              <w:left w:val="single" w:color="auto" w:sz="4" w:space="0"/>
              <w:bottom w:val="single" w:color="auto" w:sz="4" w:space="0"/>
              <w:right w:val="single" w:color="auto" w:sz="4" w:space="0"/>
            </w:tcBorders>
            <w:noWrap w:val="0"/>
            <w:vAlign w:val="top"/>
          </w:tcPr>
          <w:p w14:paraId="4EFE4ECB">
            <w:pPr>
              <w:pStyle w:val="17"/>
              <w:keepNext w:val="0"/>
              <w:keepLines w:val="0"/>
              <w:widowControl/>
              <w:suppressLineNumbers w:val="0"/>
              <w:kinsoku w:val="0"/>
              <w:overflowPunct w:val="0"/>
              <w:spacing w:before="0" w:beforeAutospacing="0" w:after="0" w:afterAutospacing="0" w:line="400" w:lineRule="exact"/>
              <w:ind w:right="0"/>
              <w:jc w:val="left"/>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1.要求 B/S 架构内网部署，系统支持先进的B/S架构一体化设计，可兼容windows操作系统和国产操作系统运行；</w:t>
            </w:r>
          </w:p>
          <w:p w14:paraId="23B8A9EE">
            <w:pPr>
              <w:pStyle w:val="17"/>
              <w:keepNext w:val="0"/>
              <w:keepLines w:val="0"/>
              <w:widowControl/>
              <w:suppressLineNumbers w:val="0"/>
              <w:kinsoku w:val="0"/>
              <w:overflowPunct w:val="0"/>
              <w:spacing w:before="0" w:beforeAutospacing="0" w:after="0" w:afterAutospacing="0" w:line="400" w:lineRule="exact"/>
              <w:ind w:right="0"/>
              <w:jc w:val="left"/>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2.不限工作站点与账户数量;</w:t>
            </w:r>
          </w:p>
          <w:p w14:paraId="4AEB3DDE">
            <w:pPr>
              <w:pStyle w:val="17"/>
              <w:keepNext w:val="0"/>
              <w:keepLines w:val="0"/>
              <w:widowControl/>
              <w:suppressLineNumbers w:val="0"/>
              <w:kinsoku w:val="0"/>
              <w:overflowPunct w:val="0"/>
              <w:spacing w:before="0" w:beforeAutospacing="0" w:after="0" w:afterAutospacing="0" w:line="400" w:lineRule="exact"/>
              <w:ind w:right="0"/>
              <w:jc w:val="left"/>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3.数据库及操作系统适配管理：系统可适配主流的SQL Server、Oracle数据库，同时可适配达梦、南大通用等国产数据库，确保数据库选择的多样性与数据迁移的平滑性;</w:t>
            </w:r>
          </w:p>
          <w:p w14:paraId="1E6D4A39">
            <w:pPr>
              <w:pStyle w:val="17"/>
              <w:keepNext w:val="0"/>
              <w:keepLines w:val="0"/>
              <w:widowControl/>
              <w:suppressLineNumbers w:val="0"/>
              <w:kinsoku w:val="0"/>
              <w:overflowPunct w:val="0"/>
              <w:spacing w:before="0" w:beforeAutospacing="0" w:after="0" w:afterAutospacing="0" w:line="400" w:lineRule="exact"/>
              <w:ind w:right="0"/>
              <w:jc w:val="left"/>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4.要求系统页面性能响应迅速</w:t>
            </w:r>
            <w:r>
              <w:rPr>
                <w:rFonts w:hint="eastAsia" w:ascii="黑体" w:hAnsi="黑体" w:eastAsia="黑体" w:cs="黑体"/>
                <w:bCs/>
                <w:kern w:val="2"/>
                <w:sz w:val="22"/>
                <w:szCs w:val="22"/>
                <w:highlight w:val="none"/>
                <w:lang w:val="en-US" w:eastAsia="zh-CN" w:bidi="ar-SA"/>
              </w:rPr>
              <w:t>，</w:t>
            </w:r>
            <w:r>
              <w:rPr>
                <w:rFonts w:hint="eastAsia" w:ascii="黑体" w:hAnsi="黑体" w:eastAsia="黑体" w:cs="黑体"/>
                <w:bCs/>
                <w:kern w:val="2"/>
                <w:sz w:val="22"/>
                <w:szCs w:val="22"/>
                <w:lang w:val="en-US" w:eastAsia="zh-CN" w:bidi="ar-SA"/>
              </w:rPr>
              <w:t>提供性能测试报告;</w:t>
            </w:r>
          </w:p>
          <w:p w14:paraId="575971B7">
            <w:pPr>
              <w:pStyle w:val="17"/>
              <w:keepNext w:val="0"/>
              <w:keepLines w:val="0"/>
              <w:widowControl/>
              <w:suppressLineNumbers w:val="0"/>
              <w:kinsoku w:val="0"/>
              <w:overflowPunct w:val="0"/>
              <w:spacing w:before="0" w:beforeAutospacing="0" w:after="0" w:afterAutospacing="0" w:line="400" w:lineRule="exact"/>
              <w:ind w:right="0"/>
              <w:jc w:val="left"/>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5.要求系统全流程操作留痕，用户可追溯查询操作日志;</w:t>
            </w:r>
          </w:p>
          <w:p w14:paraId="71FCF82B">
            <w:pPr>
              <w:pStyle w:val="17"/>
              <w:keepNext w:val="0"/>
              <w:keepLines w:val="0"/>
              <w:widowControl/>
              <w:suppressLineNumbers w:val="0"/>
              <w:kinsoku w:val="0"/>
              <w:overflowPunct w:val="0"/>
              <w:spacing w:before="0" w:beforeAutospacing="0" w:after="0" w:afterAutospacing="0" w:line="400" w:lineRule="exact"/>
              <w:ind w:right="0"/>
              <w:jc w:val="left"/>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6.要求账户权限可根据用户需求灵活配置;</w:t>
            </w:r>
          </w:p>
          <w:p w14:paraId="6D86CD8A">
            <w:pPr>
              <w:pStyle w:val="17"/>
              <w:keepNext w:val="0"/>
              <w:keepLines w:val="0"/>
              <w:widowControl/>
              <w:suppressLineNumbers w:val="0"/>
              <w:kinsoku w:val="0"/>
              <w:overflowPunct w:val="0"/>
              <w:spacing w:before="0" w:beforeAutospacing="0" w:after="0" w:afterAutospacing="0" w:line="400" w:lineRule="exact"/>
              <w:ind w:right="0"/>
              <w:jc w:val="left"/>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7.要求系统支持各业务平台统一管理，提供一套账号密码权限；</w:t>
            </w:r>
          </w:p>
          <w:p w14:paraId="06A59A36">
            <w:pPr>
              <w:pStyle w:val="17"/>
              <w:keepNext w:val="0"/>
              <w:keepLines w:val="0"/>
              <w:widowControl/>
              <w:suppressLineNumbers w:val="0"/>
              <w:kinsoku w:val="0"/>
              <w:overflowPunct w:val="0"/>
              <w:spacing w:before="0" w:beforeAutospacing="0" w:after="0" w:afterAutospacing="0" w:line="400" w:lineRule="exact"/>
              <w:ind w:right="0"/>
              <w:jc w:val="left"/>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8.要求实现与医院现有集成平台、HIS、电子病历系统、PACS、LIS、心电系统等系统进行数据对接，实现数据的双向交互，由此产生的接口费由中标方承担，并提供承诺函;</w:t>
            </w:r>
          </w:p>
          <w:p w14:paraId="5AA8C3BF">
            <w:pPr>
              <w:pStyle w:val="17"/>
              <w:keepNext w:val="0"/>
              <w:keepLines w:val="0"/>
              <w:widowControl/>
              <w:suppressLineNumbers w:val="0"/>
              <w:kinsoku w:val="0"/>
              <w:overflowPunct w:val="0"/>
              <w:spacing w:before="0" w:beforeAutospacing="0" w:after="0" w:afterAutospacing="0" w:line="400" w:lineRule="exact"/>
              <w:ind w:right="0"/>
              <w:jc w:val="left"/>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9.支持系统中可读取及调阅患者在医院完成的影像检查数据，并能在数据汇总时进行必要的时间节点、标准格式图像数据的互联互通;</w:t>
            </w:r>
          </w:p>
          <w:p w14:paraId="134467BE">
            <w:pPr>
              <w:pStyle w:val="17"/>
              <w:keepNext w:val="0"/>
              <w:keepLines w:val="0"/>
              <w:widowControl/>
              <w:suppressLineNumbers w:val="0"/>
              <w:kinsoku w:val="0"/>
              <w:overflowPunct w:val="0"/>
              <w:spacing w:before="0" w:beforeAutospacing="0" w:after="0" w:afterAutospacing="0" w:line="400" w:lineRule="exact"/>
              <w:ind w:right="0"/>
              <w:jc w:val="left"/>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10.所有系统支持患者360系统对接，支持一键打开患者360系统实现患者信息的共享和高效管理;</w:t>
            </w:r>
          </w:p>
          <w:p w14:paraId="32DC0490">
            <w:pPr>
              <w:pStyle w:val="17"/>
              <w:keepNext w:val="0"/>
              <w:keepLines w:val="0"/>
              <w:widowControl/>
              <w:suppressLineNumbers w:val="0"/>
              <w:kinsoku w:val="0"/>
              <w:overflowPunct w:val="0"/>
              <w:spacing w:before="0" w:beforeAutospacing="0" w:after="0" w:afterAutospacing="0" w:line="400" w:lineRule="exact"/>
              <w:ind w:right="0" w:rightChars="0"/>
              <w:jc w:val="left"/>
              <w:rPr>
                <w:rFonts w:hint="eastAsia" w:ascii="黑体" w:hAnsi="黑体" w:eastAsia="黑体" w:cs="黑体"/>
                <w:bCs/>
                <w:kern w:val="2"/>
                <w:sz w:val="22"/>
                <w:szCs w:val="20"/>
                <w:highlight w:val="none"/>
                <w:lang w:val="en-US" w:eastAsia="zh-CN" w:bidi="ar-SA"/>
              </w:rPr>
            </w:pPr>
            <w:r>
              <w:rPr>
                <w:rFonts w:hint="eastAsia" w:ascii="黑体" w:hAnsi="黑体" w:eastAsia="黑体" w:cs="黑体"/>
                <w:bCs/>
                <w:kern w:val="2"/>
                <w:sz w:val="22"/>
                <w:szCs w:val="22"/>
                <w:lang w:val="en-US" w:eastAsia="zh-CN" w:bidi="ar-SA"/>
              </w:rPr>
              <w:t>11.</w:t>
            </w:r>
            <w:r>
              <w:rPr>
                <w:rFonts w:hint="eastAsia" w:ascii="黑体" w:hAnsi="黑体" w:eastAsia="黑体" w:cs="黑体"/>
                <w:bCs/>
                <w:kern w:val="2"/>
                <w:sz w:val="22"/>
                <w:szCs w:val="20"/>
                <w:highlight w:val="none"/>
                <w:lang w:val="en-US" w:eastAsia="zh-CN" w:bidi="ar-SA"/>
              </w:rPr>
              <w:t>支持集成本院现有的信息系统，可提供接口接入所需要的所有系统，由供应商自行承担。未来其他信息系统接入，需要供应商提供接口</w:t>
            </w:r>
            <w:r>
              <w:rPr>
                <w:rFonts w:hint="eastAsia" w:ascii="黑体" w:hAnsi="黑体" w:eastAsia="黑体" w:cs="黑体"/>
                <w:bCs/>
                <w:kern w:val="2"/>
                <w:sz w:val="22"/>
                <w:szCs w:val="22"/>
                <w:lang w:val="en-US" w:eastAsia="zh-CN" w:bidi="ar-SA"/>
              </w:rPr>
              <w:t>;</w:t>
            </w:r>
          </w:p>
          <w:p w14:paraId="11821369">
            <w:pPr>
              <w:pStyle w:val="17"/>
              <w:keepNext w:val="0"/>
              <w:keepLines w:val="0"/>
              <w:widowControl/>
              <w:suppressLineNumbers w:val="0"/>
              <w:kinsoku w:val="0"/>
              <w:overflowPunct w:val="0"/>
              <w:spacing w:before="0" w:beforeAutospacing="0" w:after="0" w:afterAutospacing="0" w:line="400" w:lineRule="exact"/>
              <w:ind w:right="0" w:rightChars="0"/>
              <w:jc w:val="left"/>
              <w:rPr>
                <w:rFonts w:hint="eastAsia" w:ascii="仿宋" w:hAnsi="仿宋" w:eastAsia="仿宋" w:cstheme="minorBidi"/>
                <w:bCs/>
                <w:kern w:val="2"/>
                <w:sz w:val="21"/>
                <w:szCs w:val="21"/>
                <w:lang w:val="en-US" w:eastAsia="zh-CN" w:bidi="ar-SA"/>
              </w:rPr>
            </w:pPr>
            <w:r>
              <w:rPr>
                <w:rFonts w:hint="eastAsia" w:ascii="黑体" w:hAnsi="黑体" w:eastAsia="黑体" w:cs="黑体"/>
                <w:bCs/>
                <w:kern w:val="2"/>
                <w:sz w:val="21"/>
                <w:szCs w:val="21"/>
                <w:lang w:val="en-US" w:eastAsia="zh-CN" w:bidi="ar-SA"/>
              </w:rPr>
              <w:t>12.服务期内，中标人免费配合院方进行第三方接口对接。</w:t>
            </w:r>
          </w:p>
        </w:tc>
        <w:tc>
          <w:tcPr>
            <w:tcW w:w="785" w:type="dxa"/>
            <w:tcBorders>
              <w:top w:val="single" w:color="auto" w:sz="4" w:space="0"/>
              <w:left w:val="single" w:color="auto" w:sz="4" w:space="0"/>
              <w:bottom w:val="single" w:color="auto" w:sz="4" w:space="0"/>
              <w:right w:val="single" w:color="auto" w:sz="4" w:space="0"/>
            </w:tcBorders>
            <w:noWrap w:val="0"/>
            <w:vAlign w:val="top"/>
          </w:tcPr>
          <w:p w14:paraId="7A7CC8D5">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03D08240">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305B781C">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3FE58972">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7B41B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684" w:type="dxa"/>
            <w:tcBorders>
              <w:top w:val="single" w:color="auto" w:sz="4" w:space="0"/>
              <w:left w:val="single" w:color="auto" w:sz="4" w:space="0"/>
              <w:bottom w:val="single" w:color="auto" w:sz="4" w:space="0"/>
              <w:right w:val="single" w:color="auto" w:sz="4" w:space="0"/>
            </w:tcBorders>
            <w:noWrap w:val="0"/>
            <w:vAlign w:val="center"/>
          </w:tcPr>
          <w:p w14:paraId="2968187B">
            <w:pPr>
              <w:pStyle w:val="17"/>
              <w:widowControl/>
              <w:kinsoku w:val="0"/>
              <w:overflowPunct w:val="0"/>
              <w:spacing w:line="400" w:lineRule="exact"/>
              <w:rPr>
                <w:rFonts w:hint="default"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2</w:t>
            </w:r>
          </w:p>
        </w:tc>
        <w:tc>
          <w:tcPr>
            <w:tcW w:w="1179" w:type="dxa"/>
            <w:tcBorders>
              <w:top w:val="single" w:color="auto" w:sz="4" w:space="0"/>
              <w:left w:val="single" w:color="auto" w:sz="4" w:space="0"/>
              <w:bottom w:val="single" w:color="auto" w:sz="4" w:space="0"/>
              <w:right w:val="single" w:color="auto" w:sz="4" w:space="0"/>
            </w:tcBorders>
            <w:noWrap w:val="0"/>
            <w:vAlign w:val="center"/>
          </w:tcPr>
          <w:p w14:paraId="0CFDDC82">
            <w:pPr>
              <w:pStyle w:val="17"/>
              <w:keepNext w:val="0"/>
              <w:keepLines w:val="0"/>
              <w:widowControl/>
              <w:suppressLineNumbers w:val="0"/>
              <w:kinsoku w:val="0"/>
              <w:overflowPunct w:val="0"/>
              <w:spacing w:before="0" w:beforeAutospacing="0" w:after="0" w:afterAutospacing="0" w:line="400" w:lineRule="exact"/>
              <w:ind w:right="0" w:rightChars="0"/>
              <w:jc w:val="center"/>
              <w:rPr>
                <w:rFonts w:hint="eastAsia" w:ascii="仿宋" w:hAnsi="仿宋" w:eastAsia="仿宋" w:cstheme="minorBidi"/>
                <w:bCs/>
                <w:kern w:val="2"/>
                <w:sz w:val="21"/>
                <w:szCs w:val="21"/>
                <w:lang w:val="en-US" w:eastAsia="zh-CN" w:bidi="ar-SA"/>
              </w:rPr>
            </w:pPr>
            <w:r>
              <w:rPr>
                <w:rFonts w:hint="eastAsia" w:ascii="黑体" w:hAnsi="黑体" w:eastAsia="黑体" w:cs="黑体"/>
                <w:bCs/>
                <w:kern w:val="2"/>
                <w:sz w:val="22"/>
                <w:szCs w:val="22"/>
                <w:lang w:val="en-US" w:eastAsia="zh-CN" w:bidi="ar-SA"/>
              </w:rPr>
              <w:t>预检分诊工作站</w:t>
            </w:r>
          </w:p>
        </w:tc>
        <w:tc>
          <w:tcPr>
            <w:tcW w:w="4278" w:type="dxa"/>
            <w:tcBorders>
              <w:top w:val="single" w:color="auto" w:sz="4" w:space="0"/>
              <w:left w:val="single" w:color="auto" w:sz="4" w:space="0"/>
              <w:bottom w:val="single" w:color="auto" w:sz="4" w:space="0"/>
              <w:right w:val="single" w:color="auto" w:sz="4" w:space="0"/>
            </w:tcBorders>
            <w:noWrap w:val="0"/>
            <w:vAlign w:val="top"/>
          </w:tcPr>
          <w:p w14:paraId="226D73DF">
            <w:pPr>
              <w:keepNext w:val="0"/>
              <w:keepLines w:val="0"/>
              <w:widowControl/>
              <w:numPr>
                <w:ilvl w:val="0"/>
                <w:numId w:val="2"/>
              </w:numPr>
              <w:suppressLineNumbers w:val="0"/>
              <w:jc w:val="left"/>
              <w:rPr>
                <w:rFonts w:hint="eastAsia" w:ascii="黑体" w:hAnsi="黑体" w:eastAsia="黑体" w:cs="黑体"/>
                <w:bCs/>
                <w:sz w:val="22"/>
                <w:highlight w:val="none"/>
              </w:rPr>
            </w:pPr>
            <w:r>
              <w:rPr>
                <w:rFonts w:hint="eastAsia" w:ascii="黑体" w:hAnsi="黑体" w:eastAsia="黑体" w:cs="黑体"/>
                <w:bCs/>
                <w:sz w:val="22"/>
                <w:highlight w:val="none"/>
              </w:rPr>
              <w:t>系统提供先分诊后挂号，先挂号后分诊，分诊同时进行挂号</w:t>
            </w:r>
            <w:r>
              <w:rPr>
                <w:rFonts w:hint="eastAsia" w:ascii="黑体" w:hAnsi="黑体" w:eastAsia="黑体" w:cs="黑体"/>
                <w:bCs/>
                <w:sz w:val="22"/>
                <w:highlight w:val="none"/>
                <w:lang w:eastAsia="zh-CN"/>
              </w:rPr>
              <w:t>，</w:t>
            </w:r>
            <w:r>
              <w:rPr>
                <w:rFonts w:hint="eastAsia" w:ascii="黑体" w:hAnsi="黑体" w:eastAsia="黑体" w:cs="黑体"/>
                <w:bCs/>
                <w:sz w:val="22"/>
                <w:highlight w:val="none"/>
                <w:lang w:val="en-US" w:eastAsia="zh-CN"/>
              </w:rPr>
              <w:t>支持对接HIS导入患者挂号和患者信息</w:t>
            </w:r>
            <w:r>
              <w:rPr>
                <w:rFonts w:hint="eastAsia" w:ascii="黑体" w:hAnsi="黑体" w:eastAsia="黑体" w:cs="黑体"/>
                <w:bCs/>
                <w:kern w:val="2"/>
                <w:sz w:val="22"/>
                <w:szCs w:val="22"/>
                <w:lang w:val="en-US" w:eastAsia="zh-CN" w:bidi="ar-SA"/>
              </w:rPr>
              <w:t>;</w:t>
            </w:r>
          </w:p>
          <w:p w14:paraId="0562669C">
            <w:pPr>
              <w:keepNext w:val="0"/>
              <w:keepLines w:val="0"/>
              <w:widowControl/>
              <w:numPr>
                <w:ilvl w:val="0"/>
                <w:numId w:val="2"/>
              </w:numPr>
              <w:suppressLineNumbers w:val="0"/>
              <w:jc w:val="left"/>
              <w:rPr>
                <w:rFonts w:hint="eastAsia" w:ascii="黑体" w:hAnsi="黑体" w:eastAsia="黑体" w:cs="黑体"/>
                <w:bCs/>
                <w:sz w:val="22"/>
                <w:highlight w:val="none"/>
                <w:lang w:val="en-US" w:eastAsia="zh-CN"/>
              </w:rPr>
            </w:pPr>
            <w:r>
              <w:rPr>
                <w:rFonts w:hint="eastAsia" w:ascii="黑体" w:hAnsi="黑体" w:eastAsia="黑体" w:cs="黑体"/>
                <w:bCs/>
                <w:sz w:val="22"/>
                <w:highlight w:val="none"/>
              </w:rPr>
              <w:t>系统支持读取患者有效证件</w:t>
            </w:r>
            <w:r>
              <w:rPr>
                <w:rFonts w:hint="eastAsia" w:ascii="黑体" w:hAnsi="黑体" w:eastAsia="黑体" w:cs="黑体"/>
                <w:bCs/>
                <w:sz w:val="22"/>
                <w:highlight w:val="none"/>
                <w:lang w:val="en-US" w:eastAsia="zh-CN"/>
              </w:rPr>
              <w:t>和电子凭证</w:t>
            </w:r>
            <w:r>
              <w:rPr>
                <w:rFonts w:hint="eastAsia" w:ascii="黑体" w:hAnsi="黑体" w:eastAsia="黑体" w:cs="黑体"/>
                <w:bCs/>
                <w:sz w:val="22"/>
                <w:highlight w:val="none"/>
              </w:rPr>
              <w:t>，如：医保卡、身份证、就诊卡、电子健康卡</w:t>
            </w:r>
            <w:r>
              <w:rPr>
                <w:rFonts w:hint="eastAsia" w:ascii="黑体" w:hAnsi="黑体" w:eastAsia="黑体" w:cs="黑体"/>
                <w:bCs/>
                <w:sz w:val="22"/>
                <w:highlight w:val="none"/>
                <w:lang w:eastAsia="zh-CN"/>
              </w:rPr>
              <w:t>、</w:t>
            </w:r>
            <w:r>
              <w:rPr>
                <w:rFonts w:hint="eastAsia" w:ascii="黑体" w:hAnsi="黑体" w:eastAsia="黑体" w:cs="黑体"/>
                <w:bCs/>
                <w:sz w:val="22"/>
                <w:highlight w:val="none"/>
                <w:lang w:val="en-US" w:eastAsia="zh-CN"/>
              </w:rPr>
              <w:t>电子医保卡，电子身份证等</w:t>
            </w:r>
            <w:r>
              <w:rPr>
                <w:rFonts w:hint="eastAsia" w:ascii="黑体" w:hAnsi="黑体" w:eastAsia="黑体" w:cs="黑体"/>
                <w:bCs/>
                <w:sz w:val="22"/>
                <w:highlight w:val="none"/>
              </w:rPr>
              <w:t>以快速获取患者基本信息</w:t>
            </w:r>
            <w:r>
              <w:rPr>
                <w:rFonts w:hint="eastAsia" w:ascii="黑体" w:hAnsi="黑体" w:eastAsia="黑体" w:cs="黑体"/>
                <w:bCs/>
                <w:sz w:val="22"/>
                <w:highlight w:val="none"/>
                <w:lang w:eastAsia="zh-CN"/>
              </w:rPr>
              <w:t>，</w:t>
            </w:r>
            <w:r>
              <w:rPr>
                <w:rFonts w:hint="eastAsia" w:ascii="黑体" w:hAnsi="黑体" w:eastAsia="黑体" w:cs="黑体"/>
                <w:bCs/>
                <w:sz w:val="22"/>
                <w:highlight w:val="none"/>
                <w:lang w:val="en-US" w:eastAsia="zh-CN"/>
              </w:rPr>
              <w:t>并将基本信息自动填入（年龄，性别等）</w:t>
            </w:r>
            <w:r>
              <w:rPr>
                <w:rFonts w:hint="eastAsia" w:ascii="黑体" w:hAnsi="黑体" w:eastAsia="黑体" w:cs="黑体"/>
                <w:bCs/>
                <w:kern w:val="2"/>
                <w:sz w:val="22"/>
                <w:szCs w:val="22"/>
                <w:lang w:val="en-US" w:eastAsia="zh-CN" w:bidi="ar-SA"/>
              </w:rPr>
              <w:t>;</w:t>
            </w:r>
          </w:p>
          <w:p w14:paraId="6F56F096">
            <w:pPr>
              <w:keepNext w:val="0"/>
              <w:keepLines w:val="0"/>
              <w:widowControl/>
              <w:numPr>
                <w:ilvl w:val="0"/>
                <w:numId w:val="2"/>
              </w:numPr>
              <w:suppressLineNumbers w:val="0"/>
              <w:jc w:val="left"/>
              <w:rPr>
                <w:rFonts w:hint="eastAsia" w:ascii="黑体" w:hAnsi="黑体" w:eastAsia="黑体" w:cs="黑体"/>
                <w:bCs/>
                <w:sz w:val="22"/>
                <w:highlight w:val="none"/>
                <w:lang w:val="en-US" w:eastAsia="zh-CN"/>
              </w:rPr>
            </w:pPr>
            <w:r>
              <w:rPr>
                <w:rFonts w:hint="eastAsia" w:ascii="黑体" w:hAnsi="黑体" w:eastAsia="黑体" w:cs="黑体"/>
                <w:bCs/>
                <w:sz w:val="22"/>
                <w:highlight w:val="none"/>
              </w:rPr>
              <w:t>系统支持无名氏登记，能够针对三无病人，自动分配分诊流水号进行登记，后期可与挂号信息进行匹配</w:t>
            </w:r>
            <w:r>
              <w:rPr>
                <w:rFonts w:hint="eastAsia" w:ascii="黑体" w:hAnsi="黑体" w:eastAsia="黑体" w:cs="黑体"/>
                <w:bCs/>
                <w:kern w:val="2"/>
                <w:sz w:val="22"/>
                <w:szCs w:val="22"/>
                <w:lang w:val="en-US" w:eastAsia="zh-CN" w:bidi="ar-SA"/>
              </w:rPr>
              <w:t>;</w:t>
            </w:r>
          </w:p>
          <w:p w14:paraId="5FE1C45C">
            <w:pPr>
              <w:keepNext w:val="0"/>
              <w:keepLines w:val="0"/>
              <w:widowControl/>
              <w:numPr>
                <w:ilvl w:val="0"/>
                <w:numId w:val="2"/>
              </w:numPr>
              <w:suppressLineNumbers w:val="0"/>
              <w:jc w:val="left"/>
              <w:rPr>
                <w:rFonts w:hint="eastAsia" w:ascii="黑体" w:hAnsi="黑体" w:eastAsia="黑体" w:cs="黑体"/>
                <w:bCs/>
                <w:sz w:val="22"/>
                <w:highlight w:val="none"/>
                <w:lang w:val="en-US" w:eastAsia="zh-CN"/>
              </w:rPr>
            </w:pPr>
            <w:r>
              <w:rPr>
                <w:rFonts w:hint="eastAsia" w:ascii="黑体" w:hAnsi="黑体" w:eastAsia="黑体" w:cs="黑体"/>
                <w:bCs/>
                <w:sz w:val="22"/>
                <w:highlight w:val="none"/>
              </w:rPr>
              <w:t>系统</w:t>
            </w:r>
            <w:r>
              <w:rPr>
                <w:rFonts w:hint="eastAsia" w:ascii="黑体" w:hAnsi="黑体" w:eastAsia="黑体" w:cs="黑体"/>
                <w:bCs/>
                <w:sz w:val="22"/>
                <w:highlight w:val="none"/>
                <w:lang w:val="en-US" w:eastAsia="zh-CN"/>
              </w:rPr>
              <w:t>支持</w:t>
            </w:r>
            <w:r>
              <w:rPr>
                <w:rFonts w:hint="eastAsia" w:ascii="黑体" w:hAnsi="黑体" w:eastAsia="黑体" w:cs="黑体"/>
                <w:bCs/>
                <w:sz w:val="22"/>
                <w:highlight w:val="none"/>
              </w:rPr>
              <w:t>患者基本信息</w:t>
            </w:r>
            <w:r>
              <w:rPr>
                <w:rFonts w:hint="eastAsia" w:ascii="黑体" w:hAnsi="黑体" w:eastAsia="黑体" w:cs="黑体"/>
                <w:bCs/>
                <w:sz w:val="22"/>
                <w:highlight w:val="none"/>
                <w:lang w:val="en-US" w:eastAsia="zh-CN"/>
              </w:rPr>
              <w:t>自动填入和</w:t>
            </w:r>
            <w:r>
              <w:rPr>
                <w:rFonts w:hint="eastAsia" w:ascii="黑体" w:hAnsi="黑体" w:eastAsia="黑体" w:cs="黑体"/>
                <w:bCs/>
                <w:sz w:val="22"/>
                <w:highlight w:val="none"/>
              </w:rPr>
              <w:t>人工录入</w:t>
            </w:r>
            <w:r>
              <w:rPr>
                <w:rFonts w:hint="eastAsia" w:ascii="黑体" w:hAnsi="黑体" w:eastAsia="黑体" w:cs="黑体"/>
                <w:bCs/>
                <w:sz w:val="22"/>
                <w:highlight w:val="none"/>
                <w:lang w:val="en-US" w:eastAsia="zh-CN"/>
              </w:rPr>
              <w:t>的</w:t>
            </w:r>
            <w:r>
              <w:rPr>
                <w:rFonts w:hint="eastAsia" w:ascii="黑体" w:hAnsi="黑体" w:eastAsia="黑体" w:cs="黑体"/>
                <w:bCs/>
                <w:sz w:val="22"/>
                <w:highlight w:val="none"/>
              </w:rPr>
              <w:t>校对与修改。</w:t>
            </w:r>
            <w:r>
              <w:rPr>
                <w:rFonts w:hint="eastAsia" w:ascii="黑体" w:hAnsi="黑体" w:eastAsia="黑体" w:cs="黑体"/>
                <w:bCs/>
                <w:sz w:val="22"/>
                <w:highlight w:val="none"/>
                <w:lang w:val="en-US" w:eastAsia="zh-CN"/>
              </w:rPr>
              <w:t>支持根据输入的生日/身份证号自动计算患者年龄。支持来院方式快速登记</w:t>
            </w:r>
            <w:r>
              <w:rPr>
                <w:rFonts w:hint="eastAsia" w:ascii="黑体" w:hAnsi="黑体" w:eastAsia="黑体" w:cs="黑体"/>
                <w:bCs/>
                <w:kern w:val="2"/>
                <w:sz w:val="22"/>
                <w:szCs w:val="22"/>
                <w:lang w:val="en-US" w:eastAsia="zh-CN" w:bidi="ar-SA"/>
              </w:rPr>
              <w:t>;</w:t>
            </w:r>
          </w:p>
          <w:p w14:paraId="2C7768BC">
            <w:pPr>
              <w:keepNext w:val="0"/>
              <w:keepLines w:val="0"/>
              <w:widowControl/>
              <w:numPr>
                <w:ilvl w:val="0"/>
                <w:numId w:val="2"/>
              </w:numPr>
              <w:suppressLineNumbers w:val="0"/>
              <w:jc w:val="left"/>
              <w:rPr>
                <w:rFonts w:hint="eastAsia" w:ascii="黑体" w:hAnsi="黑体" w:eastAsia="黑体" w:cs="黑体"/>
                <w:bCs/>
                <w:sz w:val="22"/>
                <w:highlight w:val="none"/>
                <w:lang w:val="en-US" w:eastAsia="zh-CN"/>
              </w:rPr>
            </w:pPr>
            <w:r>
              <w:rPr>
                <w:rFonts w:hint="eastAsia" w:ascii="黑体" w:hAnsi="黑体" w:eastAsia="黑体" w:cs="黑体"/>
                <w:bCs/>
                <w:sz w:val="22"/>
                <w:highlight w:val="none"/>
              </w:rPr>
              <w:t>系统支持展示分诊患者挂号列表，供用户快速查询，并支持按照已分诊已挂号、已分诊未挂号、未分诊已挂号状态进行快速筛选查看</w:t>
            </w:r>
            <w:r>
              <w:rPr>
                <w:rFonts w:hint="eastAsia" w:ascii="黑体" w:hAnsi="黑体" w:eastAsia="黑体" w:cs="黑体"/>
                <w:bCs/>
                <w:kern w:val="2"/>
                <w:sz w:val="22"/>
                <w:szCs w:val="22"/>
                <w:lang w:val="en-US" w:eastAsia="zh-CN" w:bidi="ar-SA"/>
              </w:rPr>
              <w:t>;</w:t>
            </w:r>
          </w:p>
          <w:p w14:paraId="4376E1C0">
            <w:pPr>
              <w:keepNext w:val="0"/>
              <w:keepLines w:val="0"/>
              <w:widowControl/>
              <w:numPr>
                <w:ilvl w:val="0"/>
                <w:numId w:val="2"/>
              </w:numPr>
              <w:suppressLineNumbers w:val="0"/>
              <w:jc w:val="left"/>
              <w:rPr>
                <w:rFonts w:hint="eastAsia" w:ascii="黑体" w:hAnsi="黑体" w:eastAsia="黑体" w:cs="黑体"/>
                <w:bCs/>
                <w:sz w:val="22"/>
                <w:highlight w:val="none"/>
                <w:lang w:val="en-US" w:eastAsia="zh-CN"/>
              </w:rPr>
            </w:pPr>
            <w:r>
              <w:rPr>
                <w:rFonts w:hint="eastAsia" w:ascii="黑体" w:hAnsi="黑体" w:eastAsia="黑体" w:cs="黑体"/>
                <w:bCs/>
                <w:sz w:val="22"/>
                <w:highlight w:val="none"/>
                <w:lang w:val="en-US" w:eastAsia="zh-CN"/>
              </w:rPr>
              <w:t>绿色通道患者登记，对于需开通绿色通道的急危重症患者，允许先抢救，允许选定床旁监护仪，自动采集体征数据，允许补录分诊信息</w:t>
            </w:r>
            <w:r>
              <w:rPr>
                <w:rFonts w:hint="eastAsia" w:ascii="黑体" w:hAnsi="黑体" w:eastAsia="黑体" w:cs="黑体"/>
                <w:bCs/>
                <w:kern w:val="2"/>
                <w:sz w:val="22"/>
                <w:szCs w:val="22"/>
                <w:lang w:val="en-US" w:eastAsia="zh-CN" w:bidi="ar-SA"/>
              </w:rPr>
              <w:t>;</w:t>
            </w:r>
          </w:p>
          <w:p w14:paraId="17706A3F">
            <w:pPr>
              <w:keepNext w:val="0"/>
              <w:keepLines w:val="0"/>
              <w:widowControl/>
              <w:numPr>
                <w:ilvl w:val="0"/>
                <w:numId w:val="2"/>
              </w:numPr>
              <w:suppressLineNumbers w:val="0"/>
              <w:jc w:val="left"/>
              <w:rPr>
                <w:rFonts w:hint="eastAsia" w:ascii="黑体" w:hAnsi="黑体" w:eastAsia="黑体" w:cs="黑体"/>
                <w:bCs/>
                <w:sz w:val="22"/>
                <w:highlight w:val="none"/>
                <w:lang w:val="en-US" w:eastAsia="zh-CN"/>
              </w:rPr>
            </w:pPr>
            <w:r>
              <w:rPr>
                <w:rFonts w:hint="eastAsia" w:ascii="黑体" w:hAnsi="黑体" w:eastAsia="黑体" w:cs="黑体"/>
                <w:bCs/>
                <w:sz w:val="22"/>
                <w:highlight w:val="none"/>
                <w:lang w:val="en-US" w:eastAsia="zh-CN"/>
              </w:rPr>
              <w:t>对危重患者允许一键绿色通道开通，并可同时完成快速入抢操作</w:t>
            </w:r>
            <w:r>
              <w:rPr>
                <w:rFonts w:hint="eastAsia" w:ascii="黑体" w:hAnsi="黑体" w:eastAsia="黑体" w:cs="黑体"/>
                <w:bCs/>
                <w:kern w:val="2"/>
                <w:sz w:val="22"/>
                <w:szCs w:val="22"/>
                <w:lang w:val="en-US" w:eastAsia="zh-CN" w:bidi="ar-SA"/>
              </w:rPr>
              <w:t>;</w:t>
            </w:r>
          </w:p>
          <w:p w14:paraId="2346A907">
            <w:pPr>
              <w:keepNext w:val="0"/>
              <w:keepLines w:val="0"/>
              <w:widowControl/>
              <w:numPr>
                <w:ilvl w:val="0"/>
                <w:numId w:val="2"/>
              </w:numPr>
              <w:suppressLineNumbers w:val="0"/>
              <w:jc w:val="left"/>
              <w:rPr>
                <w:rFonts w:hint="eastAsia" w:ascii="黑体" w:hAnsi="黑体" w:eastAsia="黑体" w:cs="黑体"/>
                <w:bCs/>
                <w:sz w:val="22"/>
                <w:highlight w:val="none"/>
                <w:lang w:val="en-US" w:eastAsia="zh-CN"/>
              </w:rPr>
            </w:pPr>
            <w:r>
              <w:rPr>
                <w:rFonts w:hint="eastAsia" w:ascii="黑体" w:hAnsi="黑体" w:eastAsia="黑体" w:cs="黑体"/>
                <w:bCs/>
                <w:sz w:val="22"/>
                <w:highlight w:val="none"/>
                <w:lang w:val="en-US" w:eastAsia="zh-CN"/>
              </w:rPr>
              <w:t>支持特殊人群标识，如无名氏、群伤患者、120患者、老人、儿童、孕产妇等，方便患者信息追踪</w:t>
            </w:r>
            <w:r>
              <w:rPr>
                <w:rFonts w:hint="eastAsia" w:ascii="黑体" w:hAnsi="黑体" w:eastAsia="黑体" w:cs="黑体"/>
                <w:bCs/>
                <w:kern w:val="2"/>
                <w:sz w:val="22"/>
                <w:szCs w:val="22"/>
                <w:lang w:val="en-US" w:eastAsia="zh-CN" w:bidi="ar-SA"/>
              </w:rPr>
              <w:t>;</w:t>
            </w:r>
          </w:p>
          <w:p w14:paraId="4DA89ABD">
            <w:pPr>
              <w:keepNext w:val="0"/>
              <w:keepLines w:val="0"/>
              <w:widowControl/>
              <w:numPr>
                <w:ilvl w:val="0"/>
                <w:numId w:val="2"/>
              </w:numPr>
              <w:suppressLineNumbers w:val="0"/>
              <w:jc w:val="left"/>
              <w:rPr>
                <w:rFonts w:hint="eastAsia" w:ascii="黑体" w:hAnsi="黑体" w:eastAsia="黑体" w:cs="黑体"/>
                <w:bCs/>
                <w:sz w:val="22"/>
                <w:highlight w:val="none"/>
                <w:lang w:val="en-US" w:eastAsia="zh-CN"/>
              </w:rPr>
            </w:pPr>
            <w:r>
              <w:rPr>
                <w:rFonts w:hint="eastAsia" w:ascii="黑体" w:hAnsi="黑体" w:eastAsia="黑体" w:cs="黑体"/>
                <w:bCs/>
                <w:sz w:val="22"/>
                <w:highlight w:val="none"/>
              </w:rPr>
              <w:t>系统</w:t>
            </w:r>
            <w:r>
              <w:rPr>
                <w:rFonts w:hint="eastAsia" w:ascii="黑体" w:hAnsi="黑体" w:eastAsia="黑体" w:cs="黑体"/>
                <w:bCs/>
                <w:sz w:val="22"/>
                <w:highlight w:val="none"/>
                <w:lang w:val="en-US" w:eastAsia="zh-CN"/>
              </w:rPr>
              <w:t>支持对</w:t>
            </w:r>
            <w:r>
              <w:rPr>
                <w:rFonts w:hint="eastAsia" w:ascii="黑体" w:hAnsi="黑体" w:eastAsia="黑体" w:cs="黑体"/>
                <w:bCs/>
                <w:sz w:val="22"/>
                <w:highlight w:val="none"/>
              </w:rPr>
              <w:t>发病时间、现病史、既往史、</w:t>
            </w:r>
            <w:r>
              <w:rPr>
                <w:rFonts w:hint="eastAsia" w:ascii="黑体" w:hAnsi="黑体" w:eastAsia="黑体" w:cs="黑体"/>
                <w:bCs/>
                <w:sz w:val="22"/>
                <w:highlight w:val="none"/>
                <w:lang w:val="en-US" w:eastAsia="zh-CN"/>
              </w:rPr>
              <w:t>来院时间</w:t>
            </w:r>
            <w:r>
              <w:rPr>
                <w:rFonts w:hint="eastAsia" w:ascii="黑体" w:hAnsi="黑体" w:eastAsia="黑体" w:cs="黑体"/>
                <w:bCs/>
                <w:sz w:val="22"/>
                <w:highlight w:val="none"/>
                <w:lang w:eastAsia="zh-CN"/>
              </w:rPr>
              <w:t>、</w:t>
            </w:r>
            <w:r>
              <w:rPr>
                <w:rFonts w:hint="eastAsia" w:ascii="黑体" w:hAnsi="黑体" w:eastAsia="黑体" w:cs="黑体"/>
                <w:bCs/>
                <w:sz w:val="22"/>
                <w:highlight w:val="none"/>
              </w:rPr>
              <w:t>来院方式</w:t>
            </w:r>
            <w:r>
              <w:rPr>
                <w:rFonts w:hint="eastAsia" w:ascii="黑体" w:hAnsi="黑体" w:eastAsia="黑体" w:cs="黑体"/>
                <w:bCs/>
                <w:sz w:val="22"/>
                <w:highlight w:val="none"/>
                <w:lang w:val="en-US" w:eastAsia="zh-CN"/>
              </w:rPr>
              <w:t>等信息</w:t>
            </w:r>
            <w:r>
              <w:rPr>
                <w:rFonts w:hint="eastAsia" w:ascii="黑体" w:hAnsi="黑体" w:eastAsia="黑体" w:cs="黑体"/>
                <w:bCs/>
                <w:sz w:val="22"/>
                <w:highlight w:val="none"/>
              </w:rPr>
              <w:t>的快速点选记录</w:t>
            </w:r>
            <w:r>
              <w:rPr>
                <w:rFonts w:hint="eastAsia" w:ascii="黑体" w:hAnsi="黑体" w:eastAsia="黑体" w:cs="黑体"/>
                <w:bCs/>
                <w:sz w:val="22"/>
                <w:highlight w:val="none"/>
                <w:lang w:val="en-US" w:eastAsia="zh-CN"/>
              </w:rPr>
              <w:t>或手工录入</w:t>
            </w:r>
            <w:r>
              <w:rPr>
                <w:rFonts w:hint="eastAsia" w:ascii="黑体" w:hAnsi="黑体" w:eastAsia="黑体" w:cs="黑体"/>
                <w:bCs/>
                <w:sz w:val="22"/>
                <w:highlight w:val="none"/>
              </w:rPr>
              <w:t>，并支持</w:t>
            </w:r>
            <w:r>
              <w:rPr>
                <w:rFonts w:hint="eastAsia" w:ascii="黑体" w:hAnsi="黑体" w:eastAsia="黑体" w:cs="黑体"/>
                <w:bCs/>
                <w:sz w:val="22"/>
                <w:highlight w:val="none"/>
                <w:lang w:val="en-US" w:eastAsia="zh-CN"/>
              </w:rPr>
              <w:t>医院对点选信息模板自定义配置维护</w:t>
            </w:r>
            <w:r>
              <w:rPr>
                <w:rFonts w:hint="eastAsia" w:ascii="黑体" w:hAnsi="黑体" w:eastAsia="黑体" w:cs="黑体"/>
                <w:bCs/>
                <w:kern w:val="2"/>
                <w:sz w:val="22"/>
                <w:szCs w:val="22"/>
                <w:lang w:val="en-US" w:eastAsia="zh-CN" w:bidi="ar-SA"/>
              </w:rPr>
              <w:t>;</w:t>
            </w:r>
          </w:p>
          <w:p w14:paraId="08743D33">
            <w:pPr>
              <w:keepNext w:val="0"/>
              <w:keepLines w:val="0"/>
              <w:widowControl/>
              <w:numPr>
                <w:ilvl w:val="0"/>
                <w:numId w:val="2"/>
              </w:numPr>
              <w:suppressLineNumbers w:val="0"/>
              <w:jc w:val="left"/>
              <w:rPr>
                <w:rFonts w:hint="eastAsia" w:ascii="黑体" w:hAnsi="黑体" w:eastAsia="黑体" w:cs="黑体"/>
                <w:bCs/>
                <w:sz w:val="22"/>
                <w:highlight w:val="none"/>
                <w:lang w:val="en-US" w:eastAsia="zh-CN"/>
              </w:rPr>
            </w:pPr>
            <w:r>
              <w:rPr>
                <w:rFonts w:hint="eastAsia" w:ascii="黑体" w:hAnsi="黑体" w:eastAsia="黑体" w:cs="黑体"/>
                <w:bCs/>
                <w:sz w:val="22"/>
                <w:highlight w:val="none"/>
              </w:rPr>
              <w:t>支持群伤患者管理与标识，支持快速建立群伤事件和群伤患者列表，支持群伤患者批量分诊功能，批量分诊完成后可随时补充患者的详细分诊信息。</w:t>
            </w:r>
            <w:r>
              <w:rPr>
                <w:rFonts w:hint="eastAsia" w:ascii="黑体" w:hAnsi="黑体" w:eastAsia="黑体" w:cs="黑体"/>
                <w:bCs/>
                <w:sz w:val="22"/>
                <w:highlight w:val="none"/>
                <w:lang w:val="en-US" w:eastAsia="zh-CN"/>
              </w:rPr>
              <w:t>手动手动关联群体事件</w:t>
            </w:r>
            <w:r>
              <w:rPr>
                <w:rFonts w:hint="eastAsia" w:ascii="黑体" w:hAnsi="黑体" w:eastAsia="黑体" w:cs="黑体"/>
                <w:bCs/>
                <w:kern w:val="2"/>
                <w:sz w:val="22"/>
                <w:szCs w:val="22"/>
                <w:lang w:val="en-US" w:eastAsia="zh-CN" w:bidi="ar-SA"/>
              </w:rPr>
              <w:t>;</w:t>
            </w:r>
          </w:p>
          <w:p w14:paraId="4936F305">
            <w:pPr>
              <w:keepNext w:val="0"/>
              <w:keepLines w:val="0"/>
              <w:widowControl/>
              <w:numPr>
                <w:ilvl w:val="0"/>
                <w:numId w:val="2"/>
              </w:numPr>
              <w:suppressLineNumbers w:val="0"/>
              <w:jc w:val="left"/>
              <w:rPr>
                <w:rFonts w:hint="eastAsia" w:ascii="黑体" w:hAnsi="黑体" w:eastAsia="黑体" w:cs="黑体"/>
                <w:bCs/>
                <w:sz w:val="22"/>
                <w:highlight w:val="none"/>
                <w:lang w:val="en-US" w:eastAsia="zh-CN"/>
              </w:rPr>
            </w:pPr>
            <w:r>
              <w:rPr>
                <w:rFonts w:hint="eastAsia" w:ascii="黑体" w:hAnsi="黑体" w:eastAsia="黑体" w:cs="黑体"/>
                <w:bCs/>
                <w:sz w:val="22"/>
                <w:highlight w:val="none"/>
                <w:lang w:val="en-US" w:eastAsia="zh-CN"/>
              </w:rPr>
              <w:t>系统支持对接体征监护设备（一键获取监护仪心率、收缩压、舒张压、呼吸、氧饱和度等），支持标识拒测和无迹象生命体征患者。支持生命体征按照成人、儿童进行异常值提醒</w:t>
            </w:r>
            <w:r>
              <w:rPr>
                <w:rFonts w:hint="eastAsia" w:ascii="黑体" w:hAnsi="黑体" w:eastAsia="黑体" w:cs="黑体"/>
                <w:bCs/>
                <w:kern w:val="2"/>
                <w:sz w:val="22"/>
                <w:szCs w:val="22"/>
                <w:lang w:val="en-US" w:eastAsia="zh-CN" w:bidi="ar-SA"/>
              </w:rPr>
              <w:t>;</w:t>
            </w:r>
          </w:p>
          <w:p w14:paraId="4590827C">
            <w:pPr>
              <w:keepNext w:val="0"/>
              <w:keepLines w:val="0"/>
              <w:widowControl/>
              <w:numPr>
                <w:ilvl w:val="0"/>
                <w:numId w:val="2"/>
              </w:numPr>
              <w:suppressLineNumbers w:val="0"/>
              <w:jc w:val="left"/>
              <w:rPr>
                <w:rFonts w:hint="eastAsia" w:ascii="黑体" w:hAnsi="黑体" w:eastAsia="黑体" w:cs="黑体"/>
                <w:bCs/>
                <w:sz w:val="22"/>
                <w:highlight w:val="none"/>
                <w:lang w:val="en-US" w:eastAsia="zh-CN"/>
              </w:rPr>
            </w:pPr>
            <w:r>
              <w:rPr>
                <w:rFonts w:hint="eastAsia" w:ascii="黑体" w:hAnsi="黑体" w:eastAsia="黑体" w:cs="黑体"/>
                <w:bCs/>
                <w:sz w:val="22"/>
                <w:highlight w:val="none"/>
                <w:lang w:val="en-US" w:eastAsia="zh-CN"/>
              </w:rPr>
              <w:t>系统支持生命体征自动化分级策略。</w:t>
            </w:r>
            <w:r>
              <w:rPr>
                <w:rFonts w:hint="eastAsia" w:ascii="黑体" w:hAnsi="黑体" w:eastAsia="黑体" w:cs="黑体"/>
                <w:bCs/>
                <w:sz w:val="22"/>
                <w:highlight w:val="none"/>
              </w:rPr>
              <w:t>分诊分级</w:t>
            </w:r>
            <w:r>
              <w:rPr>
                <w:rFonts w:hint="eastAsia" w:ascii="黑体" w:hAnsi="黑体" w:eastAsia="黑体" w:cs="黑体"/>
                <w:bCs/>
                <w:sz w:val="22"/>
                <w:highlight w:val="none"/>
                <w:lang w:val="en-US" w:eastAsia="zh-CN"/>
              </w:rPr>
              <w:t>支持</w:t>
            </w:r>
            <w:r>
              <w:rPr>
                <w:rFonts w:hint="eastAsia" w:ascii="黑体" w:hAnsi="黑体" w:eastAsia="黑体" w:cs="黑体"/>
                <w:bCs/>
                <w:sz w:val="22"/>
                <w:highlight w:val="none"/>
              </w:rPr>
              <w:t>人工调整</w:t>
            </w:r>
            <w:r>
              <w:rPr>
                <w:rFonts w:hint="eastAsia" w:ascii="黑体" w:hAnsi="黑体" w:eastAsia="黑体" w:cs="黑体"/>
                <w:bCs/>
                <w:sz w:val="22"/>
                <w:highlight w:val="none"/>
                <w:lang w:eastAsia="zh-CN"/>
              </w:rPr>
              <w:t>，</w:t>
            </w:r>
            <w:r>
              <w:rPr>
                <w:rFonts w:hint="eastAsia" w:ascii="黑体" w:hAnsi="黑体" w:eastAsia="黑体" w:cs="黑体"/>
                <w:bCs/>
                <w:sz w:val="22"/>
                <w:highlight w:val="none"/>
              </w:rPr>
              <w:t>分诊理由支持</w:t>
            </w:r>
            <w:r>
              <w:rPr>
                <w:rFonts w:hint="eastAsia" w:ascii="黑体" w:hAnsi="黑体" w:eastAsia="黑体" w:cs="黑体"/>
                <w:bCs/>
                <w:sz w:val="22"/>
                <w:highlight w:val="none"/>
                <w:lang w:val="en-US" w:eastAsia="zh-CN"/>
              </w:rPr>
              <w:t>手工</w:t>
            </w:r>
            <w:r>
              <w:rPr>
                <w:rFonts w:hint="eastAsia" w:ascii="黑体" w:hAnsi="黑体" w:eastAsia="黑体" w:cs="黑体"/>
                <w:bCs/>
                <w:sz w:val="22"/>
                <w:highlight w:val="none"/>
              </w:rPr>
              <w:t>录入</w:t>
            </w:r>
            <w:r>
              <w:rPr>
                <w:rFonts w:hint="eastAsia" w:ascii="黑体" w:hAnsi="黑体" w:eastAsia="黑体" w:cs="黑体"/>
                <w:bCs/>
                <w:sz w:val="22"/>
                <w:highlight w:val="none"/>
                <w:lang w:val="en-US" w:eastAsia="zh-CN"/>
              </w:rPr>
              <w:t>或</w:t>
            </w:r>
            <w:r>
              <w:rPr>
                <w:rFonts w:hint="eastAsia" w:ascii="黑体" w:hAnsi="黑体" w:eastAsia="黑体" w:cs="黑体"/>
                <w:bCs/>
                <w:sz w:val="22"/>
                <w:highlight w:val="none"/>
              </w:rPr>
              <w:t>快速点选</w:t>
            </w:r>
            <w:r>
              <w:rPr>
                <w:rFonts w:hint="eastAsia" w:ascii="黑体" w:hAnsi="黑体" w:eastAsia="黑体" w:cs="黑体"/>
                <w:bCs/>
                <w:sz w:val="22"/>
                <w:highlight w:val="none"/>
                <w:lang w:eastAsia="zh-CN"/>
              </w:rPr>
              <w:t>，</w:t>
            </w:r>
            <w:r>
              <w:rPr>
                <w:rFonts w:hint="eastAsia" w:ascii="黑体" w:hAnsi="黑体" w:eastAsia="黑体" w:cs="黑体"/>
                <w:bCs/>
                <w:sz w:val="22"/>
                <w:highlight w:val="none"/>
              </w:rPr>
              <w:t>并支持</w:t>
            </w:r>
            <w:r>
              <w:rPr>
                <w:rFonts w:hint="eastAsia" w:ascii="黑体" w:hAnsi="黑体" w:eastAsia="黑体" w:cs="黑体"/>
                <w:bCs/>
                <w:sz w:val="22"/>
                <w:highlight w:val="none"/>
                <w:lang w:val="en-US" w:eastAsia="zh-CN"/>
              </w:rPr>
              <w:t>医院对点选信息模板自定义配置维护</w:t>
            </w:r>
            <w:r>
              <w:rPr>
                <w:rFonts w:hint="eastAsia" w:ascii="黑体" w:hAnsi="黑体" w:eastAsia="黑体" w:cs="黑体"/>
                <w:bCs/>
                <w:kern w:val="2"/>
                <w:sz w:val="22"/>
                <w:szCs w:val="22"/>
                <w:lang w:val="en-US" w:eastAsia="zh-CN" w:bidi="ar-SA"/>
              </w:rPr>
              <w:t>;</w:t>
            </w:r>
          </w:p>
          <w:p w14:paraId="069389FA">
            <w:pPr>
              <w:keepNext w:val="0"/>
              <w:keepLines w:val="0"/>
              <w:widowControl/>
              <w:numPr>
                <w:ilvl w:val="0"/>
                <w:numId w:val="2"/>
              </w:numPr>
              <w:suppressLineNumbers w:val="0"/>
              <w:jc w:val="left"/>
              <w:rPr>
                <w:rFonts w:hint="eastAsia" w:ascii="黑体" w:hAnsi="黑体" w:eastAsia="黑体" w:cs="黑体"/>
                <w:bCs/>
                <w:sz w:val="22"/>
                <w:highlight w:val="none"/>
                <w:lang w:val="en-US" w:eastAsia="zh-CN"/>
              </w:rPr>
            </w:pPr>
            <w:r>
              <w:rPr>
                <w:rFonts w:hint="eastAsia" w:ascii="黑体" w:hAnsi="黑体" w:eastAsia="黑体" w:cs="黑体"/>
                <w:bCs/>
                <w:sz w:val="22"/>
                <w:highlight w:val="none"/>
                <w:lang w:val="en-US" w:eastAsia="zh-CN"/>
              </w:rPr>
              <w:t>支持二次评估并分诊，允许分诊护士对分级信息进行修正，对不同级别患者超过规定时间内未接诊进行提醒</w:t>
            </w:r>
            <w:r>
              <w:rPr>
                <w:rFonts w:hint="eastAsia" w:ascii="黑体" w:hAnsi="黑体" w:eastAsia="黑体" w:cs="黑体"/>
                <w:bCs/>
                <w:kern w:val="2"/>
                <w:sz w:val="22"/>
                <w:szCs w:val="22"/>
                <w:lang w:val="en-US" w:eastAsia="zh-CN" w:bidi="ar-SA"/>
              </w:rPr>
              <w:t>;</w:t>
            </w:r>
          </w:p>
          <w:p w14:paraId="3E7EEFAC">
            <w:pPr>
              <w:keepNext w:val="0"/>
              <w:keepLines w:val="0"/>
              <w:widowControl/>
              <w:numPr>
                <w:ilvl w:val="0"/>
                <w:numId w:val="2"/>
              </w:numPr>
              <w:suppressLineNumbers w:val="0"/>
              <w:jc w:val="left"/>
              <w:rPr>
                <w:rFonts w:hint="eastAsia" w:ascii="黑体" w:hAnsi="黑体" w:eastAsia="黑体" w:cs="黑体"/>
                <w:bCs/>
                <w:sz w:val="22"/>
                <w:highlight w:val="none"/>
                <w:lang w:val="en-US" w:eastAsia="zh-CN"/>
              </w:rPr>
            </w:pPr>
            <w:r>
              <w:rPr>
                <w:rFonts w:hint="eastAsia" w:ascii="黑体" w:hAnsi="黑体" w:eastAsia="黑体" w:cs="黑体"/>
                <w:bCs/>
                <w:sz w:val="22"/>
                <w:highlight w:val="none"/>
                <w:lang w:val="en-US" w:eastAsia="zh-CN"/>
              </w:rPr>
              <w:t>支持自动按照分诊等级计算分诊超时时间，提供分诊超时预警功能，支持为超时患者重新分诊，支持重新测量生命 体征，并查看历史生命体征记录；支持根据现有数据，通过知识库，自动推荐分诊等级；根据患者病情变化进行评估评分，评估结果自动计算</w:t>
            </w:r>
            <w:r>
              <w:rPr>
                <w:rFonts w:hint="eastAsia" w:ascii="黑体" w:hAnsi="黑体" w:eastAsia="黑体" w:cs="黑体"/>
                <w:bCs/>
                <w:kern w:val="2"/>
                <w:sz w:val="22"/>
                <w:szCs w:val="22"/>
                <w:lang w:val="en-US" w:eastAsia="zh-CN" w:bidi="ar-SA"/>
              </w:rPr>
              <w:t>;</w:t>
            </w:r>
          </w:p>
          <w:p w14:paraId="4C9E48C5">
            <w:pPr>
              <w:keepNext w:val="0"/>
              <w:keepLines w:val="0"/>
              <w:widowControl/>
              <w:numPr>
                <w:ilvl w:val="0"/>
                <w:numId w:val="2"/>
              </w:numPr>
              <w:suppressLineNumbers w:val="0"/>
              <w:jc w:val="left"/>
              <w:rPr>
                <w:rFonts w:hint="eastAsia" w:ascii="黑体" w:hAnsi="黑体" w:eastAsia="黑体" w:cs="黑体"/>
                <w:bCs/>
                <w:sz w:val="22"/>
                <w:highlight w:val="none"/>
                <w:lang w:val="en-US" w:eastAsia="zh-CN"/>
              </w:rPr>
            </w:pPr>
            <w:r>
              <w:rPr>
                <w:rFonts w:hint="eastAsia" w:ascii="黑体" w:hAnsi="黑体" w:eastAsia="黑体" w:cs="黑体"/>
                <w:bCs/>
                <w:sz w:val="22"/>
                <w:highlight w:val="none"/>
                <w:lang w:val="en-US" w:eastAsia="zh-CN"/>
              </w:rPr>
              <w:t>支持根据分诊登记，选择患者分诊去向，分诊去向内容可以配置，并支持重新分诊。</w:t>
            </w:r>
          </w:p>
          <w:p w14:paraId="1F407747">
            <w:pPr>
              <w:keepNext w:val="0"/>
              <w:keepLines w:val="0"/>
              <w:widowControl/>
              <w:numPr>
                <w:ilvl w:val="0"/>
                <w:numId w:val="2"/>
              </w:numPr>
              <w:suppressLineNumbers w:val="0"/>
              <w:jc w:val="left"/>
              <w:rPr>
                <w:rFonts w:hint="eastAsia" w:ascii="黑体" w:hAnsi="黑体" w:eastAsia="黑体" w:cs="黑体"/>
                <w:bCs/>
                <w:sz w:val="22"/>
                <w:highlight w:val="none"/>
                <w:lang w:val="en-US" w:eastAsia="zh-CN"/>
              </w:rPr>
            </w:pPr>
            <w:r>
              <w:rPr>
                <w:rFonts w:hint="eastAsia" w:ascii="黑体" w:hAnsi="黑体" w:eastAsia="黑体" w:cs="黑体"/>
                <w:bCs/>
                <w:sz w:val="22"/>
                <w:highlight w:val="none"/>
                <w:lang w:val="en-US" w:eastAsia="zh-CN"/>
              </w:rPr>
              <w:t>系统支持患者意识维护模版 字典，实现分诊时意识快速点选</w:t>
            </w:r>
            <w:r>
              <w:rPr>
                <w:rFonts w:hint="eastAsia" w:ascii="黑体" w:hAnsi="黑体" w:eastAsia="黑体" w:cs="黑体"/>
                <w:bCs/>
                <w:kern w:val="2"/>
                <w:sz w:val="22"/>
                <w:szCs w:val="22"/>
                <w:lang w:val="en-US" w:eastAsia="zh-CN" w:bidi="ar-SA"/>
              </w:rPr>
              <w:t>;</w:t>
            </w:r>
          </w:p>
          <w:p w14:paraId="41834857">
            <w:pPr>
              <w:keepNext w:val="0"/>
              <w:keepLines w:val="0"/>
              <w:widowControl/>
              <w:numPr>
                <w:ilvl w:val="0"/>
                <w:numId w:val="2"/>
              </w:numPr>
              <w:suppressLineNumbers w:val="0"/>
              <w:jc w:val="left"/>
              <w:rPr>
                <w:rFonts w:hint="default" w:ascii="黑体" w:hAnsi="黑体" w:eastAsia="黑体" w:cs="黑体"/>
                <w:bCs/>
                <w:sz w:val="22"/>
                <w:highlight w:val="none"/>
                <w:lang w:val="en-US" w:eastAsia="zh-CN"/>
              </w:rPr>
            </w:pPr>
            <w:r>
              <w:rPr>
                <w:rFonts w:hint="eastAsia" w:ascii="黑体" w:hAnsi="黑体" w:eastAsia="黑体" w:cs="黑体"/>
                <w:bCs/>
                <w:sz w:val="22"/>
                <w:highlight w:val="none"/>
                <w:lang w:val="en-US" w:eastAsia="zh-CN"/>
              </w:rPr>
              <w:t>病情等级筛选，遵循卫健委《急诊预检分诊分级标准（2018年版）》，支持三区四级的分诊模式，自动化分级/人 工分级双操作，同时病情分级依据允许用户自定义、配置，系统支持分诊分级结果自动关联分诊去向，同时支持手动修改分诊去向</w:t>
            </w:r>
            <w:r>
              <w:rPr>
                <w:rFonts w:hint="eastAsia" w:ascii="黑体" w:hAnsi="黑体" w:eastAsia="黑体" w:cs="黑体"/>
                <w:bCs/>
                <w:kern w:val="2"/>
                <w:sz w:val="22"/>
                <w:szCs w:val="22"/>
                <w:lang w:val="en-US" w:eastAsia="zh-CN" w:bidi="ar-SA"/>
              </w:rPr>
              <w:t>;</w:t>
            </w:r>
          </w:p>
          <w:p w14:paraId="230F484A">
            <w:pPr>
              <w:keepNext w:val="0"/>
              <w:keepLines w:val="0"/>
              <w:widowControl/>
              <w:numPr>
                <w:ilvl w:val="0"/>
                <w:numId w:val="2"/>
              </w:numPr>
              <w:suppressLineNumbers w:val="0"/>
              <w:jc w:val="left"/>
              <w:rPr>
                <w:rFonts w:hint="default" w:ascii="黑体" w:hAnsi="黑体" w:eastAsia="黑体" w:cs="黑体"/>
                <w:bCs/>
                <w:sz w:val="22"/>
                <w:highlight w:val="none"/>
                <w:lang w:val="en-US" w:eastAsia="zh-CN"/>
              </w:rPr>
            </w:pPr>
            <w:r>
              <w:rPr>
                <w:rFonts w:hint="eastAsia" w:ascii="黑体" w:hAnsi="黑体" w:eastAsia="黑体" w:cs="黑体"/>
                <w:bCs/>
                <w:sz w:val="22"/>
                <w:highlight w:val="none"/>
                <w:lang w:val="en-US" w:eastAsia="zh-CN"/>
              </w:rPr>
              <w:t>支持预检分诊相关统计和就诊相应时间统计。转院病人接收和历史接收信息的查询和管理。提供患者列表包含基本信息、分诊级别、患者主诉、分诊去向、诊断等内容，以及分诊时测量的生命体征信息。支持患者分诊的信息条打印，支持分诊回顾，分诊单的补打</w:t>
            </w:r>
            <w:r>
              <w:rPr>
                <w:rFonts w:hint="eastAsia" w:ascii="黑体" w:hAnsi="黑体" w:eastAsia="黑体" w:cs="黑体"/>
                <w:bCs/>
                <w:kern w:val="2"/>
                <w:sz w:val="22"/>
                <w:szCs w:val="22"/>
                <w:lang w:val="en-US" w:eastAsia="zh-CN" w:bidi="ar-SA"/>
              </w:rPr>
              <w:t>;</w:t>
            </w:r>
          </w:p>
          <w:p w14:paraId="7B7B6FE9">
            <w:pPr>
              <w:keepNext w:val="0"/>
              <w:keepLines w:val="0"/>
              <w:widowControl/>
              <w:numPr>
                <w:ilvl w:val="0"/>
                <w:numId w:val="2"/>
              </w:numPr>
              <w:suppressLineNumbers w:val="0"/>
              <w:jc w:val="left"/>
              <w:rPr>
                <w:rFonts w:hint="eastAsia" w:ascii="黑体" w:hAnsi="黑体" w:eastAsia="黑体" w:cs="黑体"/>
                <w:bCs/>
                <w:sz w:val="22"/>
                <w:highlight w:val="none"/>
                <w:lang w:val="en-US" w:eastAsia="zh-CN"/>
              </w:rPr>
            </w:pPr>
            <w:r>
              <w:rPr>
                <w:rFonts w:hint="eastAsia" w:ascii="黑体" w:hAnsi="黑体" w:eastAsia="黑体" w:cs="黑体"/>
                <w:bCs/>
                <w:sz w:val="22"/>
                <w:highlight w:val="none"/>
                <w:lang w:val="en-US" w:eastAsia="zh-CN"/>
              </w:rPr>
              <w:t>系统提供快速评分工具，支持 MEWS 评分、grace评分、GCS 评分、PEWS 评分、 REMS 评分、NIHSS 评分、创伤 ISS 评分等标准评分，并且可以自动计算分值。支持根据评分可对患者进行自动化分诊分级。并支持自定义新增维护各类不同的评分评估表</w:t>
            </w:r>
            <w:r>
              <w:rPr>
                <w:rFonts w:hint="eastAsia" w:ascii="黑体" w:hAnsi="黑体" w:eastAsia="黑体" w:cs="黑体"/>
                <w:bCs/>
                <w:kern w:val="2"/>
                <w:sz w:val="22"/>
                <w:szCs w:val="22"/>
                <w:lang w:val="en-US" w:eastAsia="zh-CN" w:bidi="ar-SA"/>
              </w:rPr>
              <w:t>;</w:t>
            </w:r>
          </w:p>
          <w:p w14:paraId="1EB7DB2A">
            <w:pPr>
              <w:keepNext w:val="0"/>
              <w:keepLines w:val="0"/>
              <w:widowControl/>
              <w:numPr>
                <w:ilvl w:val="0"/>
                <w:numId w:val="2"/>
              </w:numPr>
              <w:suppressLineNumbers w:val="0"/>
              <w:jc w:val="left"/>
              <w:rPr>
                <w:rFonts w:hint="eastAsia" w:ascii="仿宋" w:hAnsi="仿宋" w:eastAsia="仿宋" w:cstheme="minorBidi"/>
                <w:bCs/>
                <w:kern w:val="2"/>
                <w:sz w:val="21"/>
                <w:szCs w:val="21"/>
                <w:lang w:val="en-US" w:eastAsia="zh-CN" w:bidi="ar-SA"/>
              </w:rPr>
            </w:pPr>
            <w:r>
              <w:rPr>
                <w:rFonts w:hint="eastAsia" w:ascii="黑体" w:hAnsi="黑体" w:eastAsia="黑体" w:cs="黑体"/>
                <w:bCs/>
                <w:sz w:val="22"/>
                <w:highlight w:val="none"/>
                <w:lang w:val="en-US" w:eastAsia="zh-CN"/>
              </w:rPr>
              <w:t>系统预设预检分诊专家共识知识库，分诊分级依据包括：体温、呼吸、神经系统、循环系统、消化/泌尿系统、外科/骨科、过敏反应、血液系统。知识库支持用户初始化以及针对内容进行调整，符合医院实际分诊业务流程，供应商自行提供初始知识库。</w:t>
            </w:r>
          </w:p>
        </w:tc>
        <w:tc>
          <w:tcPr>
            <w:tcW w:w="785" w:type="dxa"/>
            <w:tcBorders>
              <w:top w:val="single" w:color="auto" w:sz="4" w:space="0"/>
              <w:left w:val="single" w:color="auto" w:sz="4" w:space="0"/>
              <w:bottom w:val="single" w:color="auto" w:sz="4" w:space="0"/>
              <w:right w:val="single" w:color="auto" w:sz="4" w:space="0"/>
            </w:tcBorders>
            <w:noWrap w:val="0"/>
            <w:vAlign w:val="top"/>
          </w:tcPr>
          <w:p w14:paraId="260DF61C">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36EB2ABA">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636FB524">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0F3F70C8">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064DD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5" w:hRule="atLeast"/>
          <w:jc w:val="center"/>
        </w:trPr>
        <w:tc>
          <w:tcPr>
            <w:tcW w:w="684" w:type="dxa"/>
            <w:tcBorders>
              <w:top w:val="single" w:color="auto" w:sz="4" w:space="0"/>
              <w:left w:val="single" w:color="auto" w:sz="4" w:space="0"/>
              <w:bottom w:val="single" w:color="auto" w:sz="4" w:space="0"/>
              <w:right w:val="single" w:color="auto" w:sz="4" w:space="0"/>
            </w:tcBorders>
            <w:noWrap w:val="0"/>
            <w:vAlign w:val="center"/>
          </w:tcPr>
          <w:p w14:paraId="493A656C">
            <w:pPr>
              <w:pStyle w:val="17"/>
              <w:widowControl/>
              <w:kinsoku w:val="0"/>
              <w:overflowPunct w:val="0"/>
              <w:spacing w:line="400" w:lineRule="exact"/>
              <w:rPr>
                <w:rFonts w:hint="default"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3</w:t>
            </w:r>
          </w:p>
        </w:tc>
        <w:tc>
          <w:tcPr>
            <w:tcW w:w="1179" w:type="dxa"/>
            <w:tcBorders>
              <w:top w:val="single" w:color="auto" w:sz="4" w:space="0"/>
              <w:left w:val="single" w:color="auto" w:sz="4" w:space="0"/>
              <w:bottom w:val="single" w:color="auto" w:sz="4" w:space="0"/>
              <w:right w:val="single" w:color="auto" w:sz="4" w:space="0"/>
            </w:tcBorders>
            <w:noWrap w:val="0"/>
            <w:vAlign w:val="center"/>
          </w:tcPr>
          <w:p w14:paraId="4C26691A">
            <w:pPr>
              <w:pStyle w:val="17"/>
              <w:keepNext w:val="0"/>
              <w:keepLines w:val="0"/>
              <w:widowControl/>
              <w:suppressLineNumbers w:val="0"/>
              <w:kinsoku w:val="0"/>
              <w:overflowPunct w:val="0"/>
              <w:spacing w:before="0" w:beforeAutospacing="0" w:after="0" w:afterAutospacing="0" w:line="400" w:lineRule="exact"/>
              <w:ind w:right="0" w:rightChars="0"/>
              <w:jc w:val="center"/>
              <w:rPr>
                <w:rFonts w:hint="eastAsia" w:ascii="仿宋" w:hAnsi="仿宋" w:eastAsia="仿宋" w:cstheme="minorBidi"/>
                <w:bCs/>
                <w:kern w:val="2"/>
                <w:sz w:val="21"/>
                <w:szCs w:val="21"/>
                <w:lang w:val="en-US" w:eastAsia="zh-CN" w:bidi="ar-SA"/>
              </w:rPr>
            </w:pPr>
            <w:r>
              <w:rPr>
                <w:rFonts w:hint="eastAsia" w:ascii="黑体" w:hAnsi="黑体" w:eastAsia="黑体" w:cs="黑体"/>
                <w:bCs/>
                <w:kern w:val="2"/>
                <w:sz w:val="22"/>
                <w:szCs w:val="22"/>
                <w:lang w:val="en-US" w:eastAsia="zh-CN" w:bidi="ar-SA"/>
              </w:rPr>
              <w:t>急诊医生工作站</w:t>
            </w:r>
          </w:p>
        </w:tc>
        <w:tc>
          <w:tcPr>
            <w:tcW w:w="4278" w:type="dxa"/>
            <w:tcBorders>
              <w:top w:val="single" w:color="auto" w:sz="4" w:space="0"/>
              <w:left w:val="single" w:color="auto" w:sz="4" w:space="0"/>
              <w:bottom w:val="single" w:color="auto" w:sz="4" w:space="0"/>
              <w:right w:val="single" w:color="auto" w:sz="4" w:space="0"/>
            </w:tcBorders>
            <w:noWrap w:val="0"/>
            <w:vAlign w:val="top"/>
          </w:tcPr>
          <w:p w14:paraId="0DEFC89C">
            <w:pPr>
              <w:pStyle w:val="17"/>
              <w:keepNext w:val="0"/>
              <w:keepLines w:val="0"/>
              <w:widowControl/>
              <w:numPr>
                <w:ilvl w:val="0"/>
                <w:numId w:val="3"/>
              </w:numPr>
              <w:suppressLineNumbers w:val="0"/>
              <w:kinsoku w:val="0"/>
              <w:overflowPunct w:val="0"/>
              <w:spacing w:before="0" w:beforeAutospacing="0" w:after="0" w:afterAutospacing="0" w:line="400" w:lineRule="exact"/>
              <w:ind w:right="0"/>
              <w:jc w:val="left"/>
              <w:rPr>
                <w:rFonts w:hint="eastAsia" w:ascii="黑体" w:hAnsi="黑体" w:eastAsia="黑体" w:cs="黑体"/>
                <w:bCs/>
                <w:kern w:val="2"/>
                <w:sz w:val="22"/>
                <w:szCs w:val="20"/>
                <w:lang w:val="en-US" w:eastAsia="zh-CN" w:bidi="ar-SA"/>
              </w:rPr>
            </w:pPr>
            <w:r>
              <w:rPr>
                <w:rFonts w:hint="eastAsia" w:ascii="黑体" w:hAnsi="黑体" w:eastAsia="黑体" w:cs="黑体"/>
                <w:bCs/>
                <w:sz w:val="22"/>
                <w:lang w:val="en-US" w:eastAsia="zh-CN"/>
              </w:rPr>
              <w:t>系统支持集成本院CA电子签名，有条件情况下支持CA扫码登录等功能</w:t>
            </w:r>
            <w:r>
              <w:rPr>
                <w:rFonts w:hint="eastAsia" w:ascii="黑体" w:hAnsi="黑体" w:eastAsia="黑体" w:cs="黑体"/>
                <w:bCs/>
                <w:kern w:val="2"/>
                <w:sz w:val="22"/>
                <w:szCs w:val="22"/>
                <w:lang w:val="en-US" w:eastAsia="zh-CN" w:bidi="ar-SA"/>
              </w:rPr>
              <w:t>;</w:t>
            </w:r>
          </w:p>
          <w:p w14:paraId="24B18BD0">
            <w:pPr>
              <w:pStyle w:val="17"/>
              <w:keepNext w:val="0"/>
              <w:keepLines w:val="0"/>
              <w:widowControl/>
              <w:numPr>
                <w:ilvl w:val="0"/>
                <w:numId w:val="3"/>
              </w:numPr>
              <w:suppressLineNumbers w:val="0"/>
              <w:kinsoku w:val="0"/>
              <w:overflowPunct w:val="0"/>
              <w:spacing w:before="0" w:beforeAutospacing="0" w:after="0" w:afterAutospacing="0" w:line="400" w:lineRule="exact"/>
              <w:ind w:right="0"/>
              <w:jc w:val="left"/>
              <w:rPr>
                <w:rFonts w:hint="eastAsia" w:ascii="黑体" w:hAnsi="黑体" w:eastAsia="黑体" w:cs="黑体"/>
                <w:bCs/>
                <w:sz w:val="22"/>
                <w:lang w:val="en-US" w:eastAsia="zh-CN"/>
              </w:rPr>
            </w:pPr>
            <w:r>
              <w:rPr>
                <w:rFonts w:hint="eastAsia" w:ascii="黑体" w:hAnsi="黑体" w:eastAsia="黑体" w:cs="黑体"/>
                <w:bCs/>
                <w:sz w:val="22"/>
                <w:lang w:val="en-US" w:eastAsia="zh-CN"/>
              </w:rPr>
              <w:t>支持快速为患者开启和关闭绿色通道，允许进行先抢救后付费的抢救机制</w:t>
            </w:r>
            <w:r>
              <w:rPr>
                <w:rFonts w:hint="eastAsia" w:ascii="黑体" w:hAnsi="黑体" w:eastAsia="黑体" w:cs="黑体"/>
                <w:bCs/>
                <w:kern w:val="2"/>
                <w:sz w:val="22"/>
                <w:szCs w:val="22"/>
                <w:lang w:val="en-US" w:eastAsia="zh-CN" w:bidi="ar-SA"/>
              </w:rPr>
              <w:t>;</w:t>
            </w:r>
          </w:p>
          <w:p w14:paraId="08DD157B">
            <w:pPr>
              <w:pStyle w:val="17"/>
              <w:keepNext w:val="0"/>
              <w:keepLines w:val="0"/>
              <w:widowControl/>
              <w:numPr>
                <w:ilvl w:val="0"/>
                <w:numId w:val="3"/>
              </w:numPr>
              <w:suppressLineNumbers w:val="0"/>
              <w:kinsoku w:val="0"/>
              <w:overflowPunct w:val="0"/>
              <w:spacing w:before="0" w:beforeAutospacing="0" w:after="0" w:afterAutospacing="0" w:line="400" w:lineRule="exact"/>
              <w:ind w:right="0"/>
              <w:jc w:val="left"/>
              <w:rPr>
                <w:rFonts w:hint="eastAsia" w:ascii="黑体" w:hAnsi="黑体" w:eastAsia="黑体" w:cs="黑体"/>
                <w:bCs/>
                <w:kern w:val="2"/>
                <w:sz w:val="22"/>
                <w:szCs w:val="20"/>
                <w:lang w:val="en-US" w:eastAsia="zh-CN" w:bidi="ar-SA"/>
              </w:rPr>
            </w:pPr>
            <w:r>
              <w:rPr>
                <w:rFonts w:hint="eastAsia" w:ascii="黑体" w:hAnsi="黑体" w:eastAsia="黑体" w:cs="黑体"/>
                <w:bCs/>
                <w:kern w:val="2"/>
                <w:sz w:val="22"/>
                <w:szCs w:val="20"/>
                <w:lang w:val="en-US" w:eastAsia="zh-CN" w:bidi="ar-SA"/>
              </w:rPr>
              <w:t>支持患者存在过敏史时，医生/护士可以快速维护过敏类型和过敏内容</w:t>
            </w:r>
            <w:r>
              <w:rPr>
                <w:rFonts w:hint="eastAsia" w:ascii="黑体" w:hAnsi="黑体" w:eastAsia="黑体" w:cs="黑体"/>
                <w:bCs/>
                <w:kern w:val="2"/>
                <w:sz w:val="22"/>
                <w:szCs w:val="22"/>
                <w:lang w:val="en-US" w:eastAsia="zh-CN" w:bidi="ar-SA"/>
              </w:rPr>
              <w:t>;</w:t>
            </w:r>
          </w:p>
          <w:p w14:paraId="77D2AD9B">
            <w:pPr>
              <w:pStyle w:val="17"/>
              <w:keepNext w:val="0"/>
              <w:keepLines w:val="0"/>
              <w:widowControl/>
              <w:numPr>
                <w:ilvl w:val="0"/>
                <w:numId w:val="3"/>
              </w:numPr>
              <w:suppressLineNumbers w:val="0"/>
              <w:kinsoku w:val="0"/>
              <w:overflowPunct w:val="0"/>
              <w:spacing w:before="0" w:beforeAutospacing="0" w:after="0" w:afterAutospacing="0" w:line="400" w:lineRule="exact"/>
              <w:ind w:right="0"/>
              <w:jc w:val="left"/>
              <w:rPr>
                <w:rFonts w:hint="eastAsia" w:ascii="黑体" w:hAnsi="黑体" w:eastAsia="黑体" w:cs="黑体"/>
                <w:bCs/>
                <w:kern w:val="2"/>
                <w:sz w:val="22"/>
                <w:szCs w:val="20"/>
                <w:lang w:val="en-US" w:eastAsia="zh-CN" w:bidi="ar-SA"/>
              </w:rPr>
            </w:pPr>
            <w:r>
              <w:rPr>
                <w:rFonts w:hint="eastAsia" w:ascii="黑体" w:hAnsi="黑体" w:eastAsia="黑体" w:cs="黑体"/>
                <w:bCs/>
                <w:kern w:val="2"/>
                <w:sz w:val="22"/>
                <w:szCs w:val="20"/>
                <w:lang w:val="en-US" w:eastAsia="zh-CN" w:bidi="ar-SA"/>
              </w:rPr>
              <w:t>支持标记重点关注的患者。支持医生根据患者病情，快速标记患者为胸痛、卒中、创伤患者</w:t>
            </w:r>
            <w:r>
              <w:rPr>
                <w:rFonts w:hint="eastAsia" w:ascii="黑体" w:hAnsi="黑体" w:eastAsia="黑体" w:cs="黑体"/>
                <w:bCs/>
                <w:kern w:val="2"/>
                <w:sz w:val="22"/>
                <w:szCs w:val="22"/>
                <w:lang w:val="en-US" w:eastAsia="zh-CN" w:bidi="ar-SA"/>
              </w:rPr>
              <w:t>;</w:t>
            </w:r>
          </w:p>
          <w:p w14:paraId="36227A30">
            <w:pPr>
              <w:pStyle w:val="17"/>
              <w:keepNext w:val="0"/>
              <w:keepLines w:val="0"/>
              <w:widowControl/>
              <w:numPr>
                <w:ilvl w:val="0"/>
                <w:numId w:val="3"/>
              </w:numPr>
              <w:suppressLineNumbers w:val="0"/>
              <w:kinsoku w:val="0"/>
              <w:overflowPunct w:val="0"/>
              <w:spacing w:before="0" w:beforeAutospacing="0" w:after="0" w:afterAutospacing="0" w:line="400" w:lineRule="exact"/>
              <w:ind w:right="0"/>
              <w:jc w:val="left"/>
              <w:rPr>
                <w:rFonts w:hint="eastAsia" w:ascii="黑体" w:hAnsi="黑体" w:eastAsia="黑体" w:cs="黑体"/>
                <w:bCs/>
                <w:kern w:val="2"/>
                <w:sz w:val="22"/>
                <w:szCs w:val="20"/>
                <w:lang w:val="en-US" w:eastAsia="zh-CN" w:bidi="ar-SA"/>
              </w:rPr>
            </w:pPr>
            <w:r>
              <w:rPr>
                <w:rFonts w:hint="eastAsia" w:ascii="黑体" w:hAnsi="黑体" w:eastAsia="黑体" w:cs="黑体"/>
                <w:bCs/>
                <w:kern w:val="2"/>
                <w:sz w:val="22"/>
                <w:szCs w:val="20"/>
                <w:lang w:val="en-US" w:eastAsia="zh-CN" w:bidi="ar-SA"/>
              </w:rPr>
              <w:t>支持按患者就诊去向进行患者筛选。支持区分待诊(首诊）、诊中、结束、全部诊疗状态进行患者筛选。支持输入患者姓名、就诊号快速进行患者筛选。支持通过身份证、姓名、住院号等快速进行患者筛选</w:t>
            </w:r>
            <w:r>
              <w:rPr>
                <w:rFonts w:hint="eastAsia" w:ascii="黑体" w:hAnsi="黑体" w:eastAsia="黑体" w:cs="黑体"/>
                <w:bCs/>
                <w:kern w:val="2"/>
                <w:sz w:val="22"/>
                <w:szCs w:val="22"/>
                <w:lang w:val="en-US" w:eastAsia="zh-CN" w:bidi="ar-SA"/>
              </w:rPr>
              <w:t>;</w:t>
            </w:r>
          </w:p>
          <w:p w14:paraId="69705111">
            <w:pPr>
              <w:pStyle w:val="17"/>
              <w:keepNext w:val="0"/>
              <w:keepLines w:val="0"/>
              <w:widowControl/>
              <w:numPr>
                <w:ilvl w:val="0"/>
                <w:numId w:val="3"/>
              </w:numPr>
              <w:suppressLineNumbers w:val="0"/>
              <w:kinsoku w:val="0"/>
              <w:overflowPunct w:val="0"/>
              <w:spacing w:before="0" w:beforeAutospacing="0" w:after="0" w:afterAutospacing="0" w:line="400" w:lineRule="exact"/>
              <w:ind w:right="0"/>
              <w:jc w:val="left"/>
              <w:rPr>
                <w:rFonts w:hint="eastAsia" w:ascii="黑体" w:hAnsi="黑体" w:eastAsia="黑体" w:cs="黑体"/>
                <w:bCs/>
                <w:kern w:val="2"/>
                <w:sz w:val="22"/>
                <w:szCs w:val="20"/>
                <w:lang w:val="en-US" w:eastAsia="zh-CN" w:bidi="ar-SA"/>
              </w:rPr>
            </w:pPr>
            <w:r>
              <w:rPr>
                <w:rFonts w:hint="eastAsia" w:ascii="黑体" w:hAnsi="黑体" w:eastAsia="黑体" w:cs="黑体"/>
                <w:bCs/>
                <w:kern w:val="2"/>
                <w:sz w:val="22"/>
                <w:szCs w:val="20"/>
                <w:lang w:val="en-US" w:eastAsia="zh-CN" w:bidi="ar-SA"/>
              </w:rPr>
              <w:t>支持患者基本信息错误，HIS系统更改后，通过读卡、输入门诊号方式同步患者信息</w:t>
            </w:r>
            <w:r>
              <w:rPr>
                <w:rFonts w:hint="eastAsia" w:ascii="黑体" w:hAnsi="黑体" w:eastAsia="黑体" w:cs="黑体"/>
                <w:bCs/>
                <w:kern w:val="2"/>
                <w:sz w:val="22"/>
                <w:szCs w:val="22"/>
                <w:lang w:val="en-US" w:eastAsia="zh-CN" w:bidi="ar-SA"/>
              </w:rPr>
              <w:t>;</w:t>
            </w:r>
          </w:p>
          <w:p w14:paraId="6CB0317F">
            <w:pPr>
              <w:pStyle w:val="17"/>
              <w:keepNext w:val="0"/>
              <w:keepLines w:val="0"/>
              <w:widowControl/>
              <w:numPr>
                <w:ilvl w:val="0"/>
                <w:numId w:val="3"/>
              </w:numPr>
              <w:suppressLineNumbers w:val="0"/>
              <w:kinsoku w:val="0"/>
              <w:overflowPunct w:val="0"/>
              <w:spacing w:before="0" w:beforeAutospacing="0" w:after="0" w:afterAutospacing="0" w:line="400" w:lineRule="exact"/>
              <w:ind w:right="0"/>
              <w:jc w:val="left"/>
              <w:rPr>
                <w:rFonts w:hint="eastAsia" w:ascii="黑体" w:hAnsi="黑体" w:eastAsia="黑体" w:cs="黑体"/>
                <w:bCs/>
                <w:kern w:val="2"/>
                <w:sz w:val="22"/>
                <w:szCs w:val="20"/>
                <w:lang w:val="en-US" w:eastAsia="zh-CN" w:bidi="ar-SA"/>
              </w:rPr>
            </w:pPr>
            <w:r>
              <w:rPr>
                <w:rFonts w:hint="eastAsia" w:ascii="黑体" w:hAnsi="黑体" w:eastAsia="黑体" w:cs="黑体"/>
                <w:bCs/>
                <w:kern w:val="2"/>
                <w:sz w:val="22"/>
                <w:szCs w:val="20"/>
                <w:lang w:val="en-US" w:eastAsia="zh-CN" w:bidi="ar-SA"/>
              </w:rPr>
              <w:t>支持患者入科后，医生可以取消患者就诊功能</w:t>
            </w:r>
            <w:r>
              <w:rPr>
                <w:rFonts w:hint="eastAsia" w:ascii="黑体" w:hAnsi="黑体" w:eastAsia="黑体" w:cs="黑体"/>
                <w:bCs/>
                <w:kern w:val="2"/>
                <w:sz w:val="22"/>
                <w:szCs w:val="22"/>
                <w:lang w:val="en-US" w:eastAsia="zh-CN" w:bidi="ar-SA"/>
              </w:rPr>
              <w:t>;</w:t>
            </w:r>
          </w:p>
          <w:p w14:paraId="03D2D8AC">
            <w:pPr>
              <w:pStyle w:val="17"/>
              <w:keepNext w:val="0"/>
              <w:keepLines w:val="0"/>
              <w:widowControl/>
              <w:numPr>
                <w:ilvl w:val="0"/>
                <w:numId w:val="3"/>
              </w:numPr>
              <w:suppressLineNumbers w:val="0"/>
              <w:kinsoku w:val="0"/>
              <w:overflowPunct w:val="0"/>
              <w:spacing w:before="0" w:beforeAutospacing="0" w:after="0" w:afterAutospacing="0" w:line="400" w:lineRule="exact"/>
              <w:ind w:right="0"/>
              <w:jc w:val="left"/>
              <w:rPr>
                <w:rFonts w:hint="eastAsia" w:ascii="黑体" w:hAnsi="黑体" w:eastAsia="黑体" w:cs="黑体"/>
                <w:bCs/>
                <w:kern w:val="2"/>
                <w:sz w:val="22"/>
                <w:szCs w:val="20"/>
                <w:lang w:val="en-US" w:eastAsia="zh-CN" w:bidi="ar-SA"/>
              </w:rPr>
            </w:pPr>
            <w:r>
              <w:rPr>
                <w:rFonts w:hint="eastAsia" w:ascii="黑体" w:hAnsi="黑体" w:eastAsia="黑体" w:cs="黑体"/>
                <w:bCs/>
                <w:kern w:val="2"/>
                <w:sz w:val="22"/>
                <w:szCs w:val="20"/>
                <w:lang w:val="en-US" w:eastAsia="zh-CN" w:bidi="ar-SA"/>
              </w:rPr>
              <w:t>支持医生随时查看出入量，掌握患者病情变化：支持进行入量、出量及总平衡量汇总，支持用图形界面表达出入量 及平衡量趋势，支持同页面展现出入量汇总以及出入量项目明细数据，支持表达24小时或者最近七天出入量趋势</w:t>
            </w:r>
            <w:r>
              <w:rPr>
                <w:rFonts w:hint="eastAsia" w:ascii="黑体" w:hAnsi="黑体" w:eastAsia="黑体" w:cs="黑体"/>
                <w:bCs/>
                <w:kern w:val="2"/>
                <w:sz w:val="22"/>
                <w:szCs w:val="22"/>
                <w:lang w:val="en-US" w:eastAsia="zh-CN" w:bidi="ar-SA"/>
              </w:rPr>
              <w:t>;</w:t>
            </w:r>
          </w:p>
          <w:p w14:paraId="4FE113A7">
            <w:pPr>
              <w:pStyle w:val="17"/>
              <w:keepNext w:val="0"/>
              <w:keepLines w:val="0"/>
              <w:widowControl/>
              <w:numPr>
                <w:ilvl w:val="0"/>
                <w:numId w:val="3"/>
              </w:numPr>
              <w:suppressLineNumbers w:val="0"/>
              <w:kinsoku w:val="0"/>
              <w:overflowPunct w:val="0"/>
              <w:spacing w:before="0" w:beforeAutospacing="0" w:after="0" w:afterAutospacing="0" w:line="400" w:lineRule="exact"/>
              <w:ind w:right="0"/>
              <w:jc w:val="left"/>
              <w:rPr>
                <w:rFonts w:hint="eastAsia" w:ascii="黑体" w:hAnsi="黑体" w:eastAsia="黑体" w:cs="黑体"/>
                <w:bCs/>
                <w:kern w:val="2"/>
                <w:sz w:val="22"/>
                <w:szCs w:val="20"/>
                <w:lang w:val="en-US" w:eastAsia="zh-CN" w:bidi="ar-SA"/>
              </w:rPr>
            </w:pPr>
            <w:r>
              <w:rPr>
                <w:rFonts w:hint="eastAsia" w:ascii="黑体" w:hAnsi="黑体" w:eastAsia="黑体" w:cs="黑体"/>
                <w:bCs/>
                <w:kern w:val="2"/>
                <w:sz w:val="22"/>
                <w:szCs w:val="20"/>
                <w:lang w:val="en-US" w:eastAsia="zh-CN" w:bidi="ar-SA"/>
              </w:rPr>
              <w:t>支持根据患者病情变化需要，快速查看患者护理记录单，并且记录单支持放大缩小、打印</w:t>
            </w:r>
            <w:r>
              <w:rPr>
                <w:rFonts w:hint="eastAsia" w:ascii="黑体" w:hAnsi="黑体" w:eastAsia="黑体" w:cs="黑体"/>
                <w:bCs/>
                <w:kern w:val="2"/>
                <w:sz w:val="22"/>
                <w:szCs w:val="22"/>
                <w:lang w:val="en-US" w:eastAsia="zh-CN" w:bidi="ar-SA"/>
              </w:rPr>
              <w:t>;</w:t>
            </w:r>
          </w:p>
          <w:p w14:paraId="0FA36999">
            <w:pPr>
              <w:pStyle w:val="17"/>
              <w:keepNext w:val="0"/>
              <w:keepLines w:val="0"/>
              <w:widowControl/>
              <w:numPr>
                <w:ilvl w:val="0"/>
                <w:numId w:val="3"/>
              </w:numPr>
              <w:suppressLineNumbers w:val="0"/>
              <w:kinsoku w:val="0"/>
              <w:overflowPunct w:val="0"/>
              <w:spacing w:before="0" w:beforeAutospacing="0" w:after="0" w:afterAutospacing="0" w:line="400" w:lineRule="exact"/>
              <w:ind w:right="0"/>
              <w:jc w:val="left"/>
              <w:rPr>
                <w:rFonts w:hint="eastAsia" w:ascii="黑体" w:hAnsi="黑体" w:eastAsia="黑体" w:cs="黑体"/>
                <w:bCs/>
                <w:kern w:val="2"/>
                <w:sz w:val="22"/>
                <w:szCs w:val="20"/>
                <w:lang w:val="en-US" w:eastAsia="zh-CN" w:bidi="ar-SA"/>
              </w:rPr>
            </w:pPr>
            <w:r>
              <w:rPr>
                <w:rFonts w:hint="eastAsia" w:ascii="黑体" w:hAnsi="黑体" w:eastAsia="黑体" w:cs="黑体"/>
                <w:bCs/>
                <w:kern w:val="2"/>
                <w:sz w:val="22"/>
                <w:szCs w:val="20"/>
                <w:lang w:val="en-US" w:eastAsia="zh-CN" w:bidi="ar-SA"/>
              </w:rPr>
              <w:t>支持查看患者分诊信息详情，查看患者诉/症状、生命体征和评分内容</w:t>
            </w:r>
            <w:r>
              <w:rPr>
                <w:rFonts w:hint="eastAsia" w:ascii="黑体" w:hAnsi="黑体" w:eastAsia="黑体" w:cs="黑体"/>
                <w:bCs/>
                <w:kern w:val="2"/>
                <w:sz w:val="22"/>
                <w:szCs w:val="22"/>
                <w:lang w:val="en-US" w:eastAsia="zh-CN" w:bidi="ar-SA"/>
              </w:rPr>
              <w:t>;</w:t>
            </w:r>
          </w:p>
          <w:p w14:paraId="7A457590">
            <w:pPr>
              <w:pStyle w:val="17"/>
              <w:keepNext w:val="0"/>
              <w:keepLines w:val="0"/>
              <w:widowControl/>
              <w:numPr>
                <w:ilvl w:val="0"/>
                <w:numId w:val="3"/>
              </w:numPr>
              <w:suppressLineNumbers w:val="0"/>
              <w:kinsoku w:val="0"/>
              <w:overflowPunct w:val="0"/>
              <w:spacing w:before="0" w:beforeAutospacing="0" w:after="0" w:afterAutospacing="0" w:line="400" w:lineRule="exact"/>
              <w:ind w:right="0"/>
              <w:jc w:val="left"/>
              <w:rPr>
                <w:rFonts w:hint="eastAsia" w:ascii="黑体" w:hAnsi="黑体" w:eastAsia="黑体" w:cs="黑体"/>
                <w:bCs/>
                <w:sz w:val="22"/>
                <w:lang w:val="en-US" w:eastAsia="zh-CN"/>
              </w:rPr>
            </w:pPr>
            <w:r>
              <w:rPr>
                <w:rFonts w:hint="eastAsia" w:ascii="黑体" w:hAnsi="黑体" w:eastAsia="黑体" w:cs="黑体"/>
                <w:bCs/>
                <w:kern w:val="2"/>
                <w:sz w:val="22"/>
                <w:szCs w:val="20"/>
                <w:lang w:val="en-US" w:eastAsia="zh-CN" w:bidi="ar-SA"/>
              </w:rPr>
              <w:t>支持医生根据患者病情实际情况，修改分诊等级，并说明修改理由</w:t>
            </w:r>
            <w:r>
              <w:rPr>
                <w:rFonts w:hint="eastAsia" w:ascii="黑体" w:hAnsi="黑体" w:eastAsia="黑体" w:cs="黑体"/>
                <w:bCs/>
                <w:kern w:val="2"/>
                <w:sz w:val="22"/>
                <w:szCs w:val="22"/>
                <w:lang w:val="en-US" w:eastAsia="zh-CN" w:bidi="ar-SA"/>
              </w:rPr>
              <w:t>;</w:t>
            </w:r>
          </w:p>
          <w:p w14:paraId="0B06F410">
            <w:pPr>
              <w:pStyle w:val="17"/>
              <w:keepNext w:val="0"/>
              <w:keepLines w:val="0"/>
              <w:widowControl/>
              <w:numPr>
                <w:ilvl w:val="0"/>
                <w:numId w:val="3"/>
              </w:numPr>
              <w:suppressLineNumbers w:val="0"/>
              <w:kinsoku w:val="0"/>
              <w:overflowPunct w:val="0"/>
              <w:spacing w:before="0" w:beforeAutospacing="0" w:after="0" w:afterAutospacing="0" w:line="400" w:lineRule="exact"/>
              <w:ind w:right="0"/>
              <w:jc w:val="left"/>
              <w:rPr>
                <w:rFonts w:hint="eastAsia" w:ascii="黑体" w:hAnsi="黑体" w:eastAsia="黑体" w:cs="黑体"/>
                <w:bCs/>
                <w:kern w:val="2"/>
                <w:sz w:val="22"/>
                <w:szCs w:val="20"/>
                <w:lang w:val="en-US" w:eastAsia="zh-CN" w:bidi="ar-SA"/>
              </w:rPr>
            </w:pPr>
            <w:r>
              <w:rPr>
                <w:rFonts w:hint="eastAsia" w:ascii="黑体" w:hAnsi="黑体" w:eastAsia="黑体" w:cs="黑体"/>
                <w:bCs/>
                <w:sz w:val="22"/>
                <w:lang w:val="en-US" w:eastAsia="zh-CN"/>
              </w:rPr>
              <w:t>支持医生快速维护主诊断、子诊断的功能。支持ICD10标准诊断库与手工录入诊断两种方式，诊断信息自动引用在病历中</w:t>
            </w:r>
            <w:r>
              <w:rPr>
                <w:rFonts w:hint="eastAsia" w:ascii="黑体" w:hAnsi="黑体" w:eastAsia="黑体" w:cs="黑体"/>
                <w:bCs/>
                <w:kern w:val="2"/>
                <w:sz w:val="22"/>
                <w:szCs w:val="22"/>
                <w:lang w:val="en-US" w:eastAsia="zh-CN" w:bidi="ar-SA"/>
              </w:rPr>
              <w:t>;</w:t>
            </w:r>
          </w:p>
          <w:p w14:paraId="76D499C3">
            <w:pPr>
              <w:pStyle w:val="17"/>
              <w:keepNext w:val="0"/>
              <w:keepLines w:val="0"/>
              <w:widowControl/>
              <w:numPr>
                <w:ilvl w:val="0"/>
                <w:numId w:val="3"/>
              </w:numPr>
              <w:suppressLineNumbers w:val="0"/>
              <w:kinsoku w:val="0"/>
              <w:overflowPunct w:val="0"/>
              <w:spacing w:before="0" w:beforeAutospacing="0" w:after="0" w:afterAutospacing="0" w:line="400" w:lineRule="exact"/>
              <w:ind w:right="0"/>
              <w:jc w:val="left"/>
              <w:rPr>
                <w:rFonts w:hint="eastAsia" w:ascii="黑体" w:hAnsi="黑体" w:eastAsia="黑体" w:cs="黑体"/>
                <w:bCs/>
                <w:kern w:val="2"/>
                <w:sz w:val="22"/>
                <w:szCs w:val="20"/>
                <w:lang w:val="en-US" w:eastAsia="zh-CN" w:bidi="ar-SA"/>
              </w:rPr>
            </w:pPr>
            <w:r>
              <w:rPr>
                <w:rFonts w:hint="eastAsia" w:ascii="黑体" w:hAnsi="黑体" w:eastAsia="黑体" w:cs="黑体"/>
                <w:bCs/>
                <w:kern w:val="2"/>
                <w:sz w:val="22"/>
                <w:szCs w:val="20"/>
                <w:lang w:val="en-US" w:eastAsia="zh-CN" w:bidi="ar-SA"/>
              </w:rPr>
              <w:t>支持医生根据病情诊疗情况，可对初步诊断进行确认或修订。支持诊断可调整顺序的功能，可区分主要诊断与次要诊断。支持可推送诊断数据至院内HIS、集成平台等系统。支持可设置个人常用诊断，并提供维护功能</w:t>
            </w:r>
            <w:r>
              <w:rPr>
                <w:rFonts w:hint="eastAsia" w:ascii="黑体" w:hAnsi="黑体" w:eastAsia="黑体" w:cs="黑体"/>
                <w:bCs/>
                <w:kern w:val="2"/>
                <w:sz w:val="22"/>
                <w:szCs w:val="22"/>
                <w:lang w:val="en-US" w:eastAsia="zh-CN" w:bidi="ar-SA"/>
              </w:rPr>
              <w:t>;</w:t>
            </w:r>
          </w:p>
          <w:p w14:paraId="24FC2597">
            <w:pPr>
              <w:pStyle w:val="17"/>
              <w:keepNext w:val="0"/>
              <w:keepLines w:val="0"/>
              <w:widowControl/>
              <w:numPr>
                <w:ilvl w:val="0"/>
                <w:numId w:val="3"/>
              </w:numPr>
              <w:suppressLineNumbers w:val="0"/>
              <w:kinsoku w:val="0"/>
              <w:overflowPunct w:val="0"/>
              <w:spacing w:before="0" w:beforeAutospacing="0" w:after="0" w:afterAutospacing="0" w:line="400" w:lineRule="exact"/>
              <w:ind w:right="0"/>
              <w:jc w:val="left"/>
              <w:rPr>
                <w:rFonts w:hint="eastAsia" w:ascii="黑体" w:hAnsi="黑体" w:eastAsia="黑体" w:cs="黑体"/>
                <w:bCs/>
                <w:kern w:val="2"/>
                <w:sz w:val="22"/>
                <w:szCs w:val="20"/>
                <w:lang w:val="en-US" w:eastAsia="zh-CN" w:bidi="ar-SA"/>
              </w:rPr>
            </w:pPr>
            <w:r>
              <w:rPr>
                <w:rFonts w:hint="eastAsia" w:ascii="黑体" w:hAnsi="黑体" w:eastAsia="黑体" w:cs="黑体"/>
                <w:bCs/>
                <w:kern w:val="2"/>
                <w:sz w:val="22"/>
                <w:szCs w:val="20"/>
                <w:lang w:val="en-US" w:eastAsia="zh-CN" w:bidi="ar-SA"/>
              </w:rPr>
              <w:t>支持集成HIS医嘱收费项目。医生在本系统下达医嘱之后，将医嘱信息和收费信息，病人信息同步到his中，方便在his中记账收费结算</w:t>
            </w:r>
            <w:r>
              <w:rPr>
                <w:rFonts w:hint="eastAsia" w:ascii="黑体" w:hAnsi="黑体" w:eastAsia="黑体" w:cs="黑体"/>
                <w:bCs/>
                <w:kern w:val="2"/>
                <w:sz w:val="22"/>
                <w:szCs w:val="22"/>
                <w:lang w:val="en-US" w:eastAsia="zh-CN" w:bidi="ar-SA"/>
              </w:rPr>
              <w:t>;</w:t>
            </w:r>
          </w:p>
          <w:p w14:paraId="512074C7">
            <w:pPr>
              <w:pStyle w:val="17"/>
              <w:keepNext w:val="0"/>
              <w:keepLines w:val="0"/>
              <w:widowControl/>
              <w:numPr>
                <w:ilvl w:val="0"/>
                <w:numId w:val="3"/>
              </w:numPr>
              <w:suppressLineNumbers w:val="0"/>
              <w:kinsoku w:val="0"/>
              <w:overflowPunct w:val="0"/>
              <w:spacing w:before="0" w:beforeAutospacing="0" w:after="0" w:afterAutospacing="0" w:line="400" w:lineRule="exact"/>
              <w:ind w:right="0"/>
              <w:jc w:val="left"/>
              <w:rPr>
                <w:rFonts w:hint="eastAsia" w:ascii="黑体" w:hAnsi="黑体" w:eastAsia="黑体" w:cs="黑体"/>
                <w:bCs/>
                <w:kern w:val="2"/>
                <w:sz w:val="22"/>
                <w:szCs w:val="20"/>
                <w:lang w:val="en-US" w:eastAsia="zh-CN" w:bidi="ar-SA"/>
              </w:rPr>
            </w:pPr>
            <w:r>
              <w:rPr>
                <w:rFonts w:hint="eastAsia" w:ascii="黑体" w:hAnsi="黑体" w:eastAsia="黑体" w:cs="黑体"/>
                <w:bCs/>
                <w:kern w:val="2"/>
                <w:sz w:val="22"/>
                <w:szCs w:val="20"/>
                <w:lang w:val="en-US" w:eastAsia="zh-CN" w:bidi="ar-SA"/>
              </w:rPr>
              <w:t>支持医生依据患者情况，指定患者去向；支持患者自由转归，系统记录（转抢救区/转留观区/转住院/转手术室/转外 院/死亡/离院）；患者换住院时，可以选择住院科室</w:t>
            </w:r>
            <w:r>
              <w:rPr>
                <w:rFonts w:hint="eastAsia" w:ascii="黑体" w:hAnsi="黑体" w:eastAsia="黑体" w:cs="黑体"/>
                <w:bCs/>
                <w:kern w:val="2"/>
                <w:sz w:val="22"/>
                <w:szCs w:val="22"/>
                <w:lang w:val="en-US" w:eastAsia="zh-CN" w:bidi="ar-SA"/>
              </w:rPr>
              <w:t>;</w:t>
            </w:r>
          </w:p>
          <w:p w14:paraId="42F945B8">
            <w:pPr>
              <w:pStyle w:val="17"/>
              <w:keepNext w:val="0"/>
              <w:keepLines w:val="0"/>
              <w:widowControl/>
              <w:numPr>
                <w:ilvl w:val="0"/>
                <w:numId w:val="3"/>
              </w:numPr>
              <w:suppressLineNumbers w:val="0"/>
              <w:kinsoku w:val="0"/>
              <w:overflowPunct w:val="0"/>
              <w:spacing w:before="0" w:beforeAutospacing="0" w:after="0" w:afterAutospacing="0" w:line="400" w:lineRule="exact"/>
              <w:ind w:right="0"/>
              <w:jc w:val="left"/>
              <w:rPr>
                <w:rFonts w:hint="eastAsia" w:ascii="黑体" w:hAnsi="黑体" w:eastAsia="黑体" w:cs="黑体"/>
                <w:bCs/>
                <w:sz w:val="22"/>
                <w:lang w:val="en-US" w:eastAsia="zh-CN"/>
              </w:rPr>
            </w:pPr>
            <w:r>
              <w:rPr>
                <w:rFonts w:hint="eastAsia" w:ascii="黑体" w:hAnsi="黑体" w:eastAsia="黑体" w:cs="黑体"/>
                <w:bCs/>
                <w:kern w:val="2"/>
                <w:sz w:val="22"/>
                <w:szCs w:val="20"/>
                <w:highlight w:val="none"/>
                <w:lang w:val="en-US" w:eastAsia="zh-CN" w:bidi="ar-SA"/>
              </w:rPr>
              <w:t>系统与LIS、PACS对接，调阅检查检验结果包括图像报告和文字报告</w:t>
            </w:r>
            <w:r>
              <w:rPr>
                <w:rFonts w:hint="eastAsia" w:ascii="黑体" w:hAnsi="黑体" w:eastAsia="黑体" w:cs="黑体"/>
                <w:bCs/>
                <w:sz w:val="22"/>
                <w:lang w:val="en-US" w:eastAsia="zh-CN"/>
              </w:rPr>
              <w:t>，支持检查检验数据数据的异常值提醒。支持查看检查项目及子项目。如查看报告时间、报告内容。)。支持在条件允许的情况下，对接心电系统，查看心电图报告内容。支持检查检验结果和医嘱信息导入电子病历</w:t>
            </w:r>
            <w:r>
              <w:rPr>
                <w:rFonts w:hint="eastAsia" w:ascii="黑体" w:hAnsi="黑体" w:eastAsia="黑体" w:cs="黑体"/>
                <w:bCs/>
                <w:kern w:val="2"/>
                <w:sz w:val="22"/>
                <w:szCs w:val="22"/>
                <w:lang w:val="en-US" w:eastAsia="zh-CN" w:bidi="ar-SA"/>
              </w:rPr>
              <w:t>;</w:t>
            </w:r>
          </w:p>
          <w:p w14:paraId="413EC8A7">
            <w:pPr>
              <w:pStyle w:val="17"/>
              <w:keepNext w:val="0"/>
              <w:keepLines w:val="0"/>
              <w:widowControl/>
              <w:numPr>
                <w:ilvl w:val="0"/>
                <w:numId w:val="3"/>
              </w:numPr>
              <w:suppressLineNumbers w:val="0"/>
              <w:kinsoku w:val="0"/>
              <w:overflowPunct w:val="0"/>
              <w:spacing w:before="0" w:beforeAutospacing="0" w:after="0" w:afterAutospacing="0" w:line="400" w:lineRule="exact"/>
              <w:ind w:right="0"/>
              <w:jc w:val="left"/>
              <w:rPr>
                <w:rFonts w:hint="eastAsia" w:ascii="黑体" w:hAnsi="黑体" w:eastAsia="黑体" w:cs="黑体"/>
                <w:bCs/>
                <w:kern w:val="2"/>
                <w:sz w:val="22"/>
                <w:szCs w:val="20"/>
                <w:lang w:val="en-US" w:eastAsia="zh-CN" w:bidi="ar-SA"/>
              </w:rPr>
            </w:pPr>
            <w:r>
              <w:rPr>
                <w:rFonts w:hint="eastAsia" w:ascii="黑体" w:hAnsi="黑体" w:eastAsia="黑体" w:cs="黑体"/>
                <w:bCs/>
                <w:kern w:val="2"/>
                <w:sz w:val="22"/>
                <w:szCs w:val="22"/>
                <w:lang w:val="en-US" w:eastAsia="zh-CN" w:bidi="ar-SA"/>
              </w:rPr>
              <w:t>会诊登记管理:支持会诊申请，会诊状态查看及会诊评价，支持对接HIS系统，将检验检查相关进行导入，支持会诊简述模板化，支持会诊回复操作和历史详情查询回顾;</w:t>
            </w:r>
          </w:p>
          <w:p w14:paraId="780635B4">
            <w:pPr>
              <w:pStyle w:val="17"/>
              <w:keepNext w:val="0"/>
              <w:keepLines w:val="0"/>
              <w:widowControl/>
              <w:numPr>
                <w:ilvl w:val="0"/>
                <w:numId w:val="3"/>
              </w:numPr>
              <w:suppressLineNumbers w:val="0"/>
              <w:kinsoku w:val="0"/>
              <w:overflowPunct w:val="0"/>
              <w:spacing w:before="0" w:beforeAutospacing="0" w:after="0" w:afterAutospacing="0" w:line="400" w:lineRule="exact"/>
              <w:ind w:right="0"/>
              <w:jc w:val="left"/>
              <w:rPr>
                <w:rFonts w:hint="eastAsia" w:ascii="黑体" w:hAnsi="黑体" w:eastAsia="黑体" w:cs="黑体"/>
                <w:bCs/>
                <w:kern w:val="2"/>
                <w:sz w:val="22"/>
                <w:szCs w:val="20"/>
                <w:lang w:val="en-US" w:eastAsia="zh-CN" w:bidi="ar-SA"/>
              </w:rPr>
            </w:pPr>
            <w:r>
              <w:rPr>
                <w:rFonts w:hint="eastAsia" w:ascii="黑体" w:hAnsi="黑体" w:eastAsia="黑体" w:cs="黑体"/>
                <w:bCs/>
                <w:kern w:val="2"/>
                <w:sz w:val="22"/>
                <w:szCs w:val="20"/>
                <w:lang w:val="en-US" w:eastAsia="zh-CN" w:bidi="ar-SA"/>
              </w:rPr>
              <w:t>具有急症电子病历系统，</w:t>
            </w:r>
            <w:r>
              <w:rPr>
                <w:rFonts w:hint="eastAsia" w:ascii="黑体" w:hAnsi="黑体" w:eastAsia="黑体" w:cs="黑体"/>
                <w:bCs/>
                <w:kern w:val="2"/>
                <w:sz w:val="22"/>
                <w:szCs w:val="22"/>
                <w:lang w:val="en-US" w:eastAsia="zh-CN" w:bidi="ar-SA"/>
              </w:rPr>
              <w:t>提供常用的急诊病历范文，提供病历模板配置工具，支持急诊科自己维护各种结构化病历模板，</w:t>
            </w:r>
            <w:r>
              <w:rPr>
                <w:rFonts w:hint="eastAsia" w:ascii="黑体" w:hAnsi="黑体" w:eastAsia="黑体" w:cs="黑体"/>
                <w:bCs/>
                <w:kern w:val="2"/>
                <w:sz w:val="22"/>
                <w:szCs w:val="22"/>
                <w:highlight w:val="none"/>
                <w:lang w:val="en-US" w:eastAsia="zh-CN" w:bidi="ar-SA"/>
              </w:rPr>
              <w:t>支持医嘱、生命体征等插入病历文书，</w:t>
            </w:r>
            <w:r>
              <w:rPr>
                <w:rFonts w:hint="eastAsia" w:ascii="黑体" w:hAnsi="黑体" w:eastAsia="黑体" w:cs="黑体"/>
                <w:bCs/>
                <w:kern w:val="2"/>
                <w:sz w:val="22"/>
                <w:szCs w:val="22"/>
                <w:lang w:val="en-US" w:eastAsia="zh-CN" w:bidi="ar-SA"/>
              </w:rPr>
              <w:t>支持历史病历查看与复制、引用等;</w:t>
            </w:r>
          </w:p>
          <w:p w14:paraId="5941BD73">
            <w:pPr>
              <w:pStyle w:val="17"/>
              <w:keepNext w:val="0"/>
              <w:keepLines w:val="0"/>
              <w:widowControl/>
              <w:numPr>
                <w:ilvl w:val="0"/>
                <w:numId w:val="3"/>
              </w:numPr>
              <w:suppressLineNumbers w:val="0"/>
              <w:kinsoku w:val="0"/>
              <w:overflowPunct w:val="0"/>
              <w:spacing w:before="0" w:beforeAutospacing="0" w:after="0" w:afterAutospacing="0" w:line="400" w:lineRule="exact"/>
              <w:ind w:right="0"/>
              <w:jc w:val="left"/>
              <w:rPr>
                <w:rFonts w:hint="eastAsia" w:ascii="黑体" w:hAnsi="黑体" w:eastAsia="黑体" w:cs="黑体"/>
                <w:bCs/>
                <w:kern w:val="2"/>
                <w:sz w:val="22"/>
                <w:szCs w:val="20"/>
                <w:lang w:val="en-US" w:eastAsia="zh-CN" w:bidi="ar-SA"/>
              </w:rPr>
            </w:pPr>
            <w:r>
              <w:rPr>
                <w:rFonts w:hint="eastAsia" w:ascii="黑体" w:hAnsi="黑体" w:eastAsia="黑体" w:cs="黑体"/>
                <w:bCs/>
                <w:kern w:val="2"/>
                <w:sz w:val="22"/>
                <w:szCs w:val="20"/>
                <w:lang w:val="en-US" w:eastAsia="zh-CN" w:bidi="ar-SA"/>
              </w:rPr>
              <w:t>电子病历系统符合</w:t>
            </w:r>
            <w:r>
              <w:rPr>
                <w:rFonts w:hint="eastAsia" w:ascii="黑体" w:hAnsi="黑体" w:eastAsia="黑体" w:cs="黑体"/>
                <w:bCs/>
                <w:kern w:val="2"/>
                <w:sz w:val="22"/>
                <w:szCs w:val="22"/>
                <w:lang w:val="en-US" w:eastAsia="zh-CN" w:bidi="ar-SA"/>
              </w:rPr>
              <w:t>《电子病历系统功能应用水平分级评价方法及标准（试行）》五级要求标准建设，提供专病专科模板与模板结构化;</w:t>
            </w:r>
          </w:p>
          <w:p w14:paraId="418D0057">
            <w:pPr>
              <w:pStyle w:val="17"/>
              <w:keepNext w:val="0"/>
              <w:keepLines w:val="0"/>
              <w:widowControl/>
              <w:numPr>
                <w:ilvl w:val="0"/>
                <w:numId w:val="3"/>
              </w:numPr>
              <w:suppressLineNumbers w:val="0"/>
              <w:kinsoku w:val="0"/>
              <w:overflowPunct w:val="0"/>
              <w:spacing w:before="0" w:beforeAutospacing="0" w:after="0" w:afterAutospacing="0" w:line="400" w:lineRule="exact"/>
              <w:ind w:right="0"/>
              <w:jc w:val="left"/>
              <w:rPr>
                <w:rFonts w:hint="eastAsia" w:ascii="黑体" w:hAnsi="黑体" w:eastAsia="黑体" w:cs="黑体"/>
                <w:bCs/>
                <w:kern w:val="2"/>
                <w:sz w:val="22"/>
                <w:szCs w:val="20"/>
                <w:lang w:val="en-US" w:eastAsia="zh-CN" w:bidi="ar-SA"/>
              </w:rPr>
            </w:pPr>
            <w:r>
              <w:rPr>
                <w:rFonts w:hint="eastAsia" w:ascii="黑体" w:hAnsi="黑体" w:eastAsia="黑体" w:cs="黑体"/>
                <w:i w:val="0"/>
                <w:iCs w:val="0"/>
                <w:color w:val="000000"/>
                <w:kern w:val="0"/>
                <w:sz w:val="22"/>
                <w:szCs w:val="22"/>
                <w:highlight w:val="none"/>
                <w:u w:val="none"/>
                <w:lang w:val="en-US" w:eastAsia="zh-CN" w:bidi="ar"/>
              </w:rPr>
              <w:t>支持文书修改留痕，支持前台留痕记录（包含修改人、修改时间、修改内容、IP地址等）</w:t>
            </w:r>
            <w:r>
              <w:rPr>
                <w:rFonts w:hint="eastAsia" w:ascii="黑体" w:hAnsi="黑体" w:eastAsia="黑体" w:cs="黑体"/>
                <w:bCs/>
                <w:kern w:val="2"/>
                <w:sz w:val="22"/>
                <w:szCs w:val="22"/>
                <w:lang w:val="en-US" w:eastAsia="zh-CN" w:bidi="ar-SA"/>
              </w:rPr>
              <w:t>;</w:t>
            </w:r>
          </w:p>
          <w:p w14:paraId="42A04F06">
            <w:pPr>
              <w:pStyle w:val="17"/>
              <w:keepNext w:val="0"/>
              <w:keepLines w:val="0"/>
              <w:widowControl/>
              <w:numPr>
                <w:ilvl w:val="0"/>
                <w:numId w:val="3"/>
              </w:numPr>
              <w:suppressLineNumbers w:val="0"/>
              <w:kinsoku w:val="0"/>
              <w:overflowPunct w:val="0"/>
              <w:spacing w:before="0" w:beforeAutospacing="0" w:after="0" w:afterAutospacing="0" w:line="400" w:lineRule="exact"/>
              <w:ind w:right="0"/>
              <w:jc w:val="left"/>
              <w:rPr>
                <w:rFonts w:hint="eastAsia" w:ascii="黑体" w:hAnsi="黑体" w:eastAsia="黑体" w:cs="黑体"/>
                <w:bCs/>
                <w:kern w:val="2"/>
                <w:sz w:val="22"/>
                <w:szCs w:val="20"/>
                <w:lang w:val="en-US" w:eastAsia="zh-CN" w:bidi="ar-SA"/>
              </w:rPr>
            </w:pPr>
            <w:r>
              <w:rPr>
                <w:rFonts w:hint="eastAsia" w:ascii="黑体" w:hAnsi="黑体" w:eastAsia="黑体" w:cs="黑体"/>
                <w:color w:val="000000"/>
                <w:kern w:val="0"/>
                <w:sz w:val="22"/>
                <w:lang w:bidi="ar"/>
              </w:rPr>
              <w:t>系统支持</w:t>
            </w:r>
            <w:r>
              <w:rPr>
                <w:rFonts w:hint="eastAsia" w:ascii="黑体" w:hAnsi="黑体" w:eastAsia="黑体" w:cs="黑体"/>
                <w:color w:val="000000"/>
                <w:kern w:val="0"/>
                <w:sz w:val="22"/>
                <w:lang w:val="en-US" w:eastAsia="zh-CN" w:bidi="ar"/>
              </w:rPr>
              <w:t>以</w:t>
            </w:r>
            <w:r>
              <w:rPr>
                <w:rFonts w:hint="eastAsia" w:ascii="黑体" w:hAnsi="黑体" w:eastAsia="黑体" w:cs="黑体"/>
                <w:color w:val="000000"/>
                <w:kern w:val="0"/>
                <w:sz w:val="22"/>
                <w:lang w:bidi="ar"/>
              </w:rPr>
              <w:t>波形图</w:t>
            </w:r>
            <w:r>
              <w:rPr>
                <w:rFonts w:hint="eastAsia" w:ascii="黑体" w:hAnsi="黑体" w:eastAsia="黑体" w:cs="黑体"/>
                <w:color w:val="000000"/>
                <w:kern w:val="0"/>
                <w:sz w:val="22"/>
                <w:lang w:val="en-US" w:eastAsia="zh-CN" w:bidi="ar"/>
              </w:rPr>
              <w:t>或者其他</w:t>
            </w:r>
            <w:r>
              <w:rPr>
                <w:rFonts w:hint="eastAsia" w:ascii="黑体" w:hAnsi="黑体" w:eastAsia="黑体" w:cs="黑体"/>
                <w:color w:val="000000"/>
                <w:kern w:val="0"/>
                <w:sz w:val="22"/>
                <w:lang w:bidi="ar"/>
              </w:rPr>
              <w:t>方式展示生命体征信息及异常值</w:t>
            </w:r>
            <w:r>
              <w:rPr>
                <w:rFonts w:hint="eastAsia" w:ascii="黑体" w:hAnsi="黑体" w:eastAsia="黑体" w:cs="黑体"/>
                <w:color w:val="000000"/>
                <w:kern w:val="0"/>
                <w:sz w:val="22"/>
                <w:lang w:eastAsia="zh-CN" w:bidi="ar"/>
              </w:rPr>
              <w:t>、</w:t>
            </w:r>
            <w:r>
              <w:rPr>
                <w:rFonts w:hint="eastAsia" w:ascii="黑体" w:hAnsi="黑体" w:eastAsia="黑体" w:cs="黑体"/>
                <w:color w:val="000000"/>
                <w:kern w:val="0"/>
                <w:sz w:val="22"/>
                <w:lang w:bidi="ar"/>
              </w:rPr>
              <w:t>患者评分信息</w:t>
            </w:r>
            <w:r>
              <w:rPr>
                <w:rFonts w:hint="eastAsia" w:ascii="黑体" w:hAnsi="黑体" w:eastAsia="黑体" w:cs="黑体"/>
                <w:color w:val="000000"/>
                <w:kern w:val="0"/>
                <w:sz w:val="22"/>
                <w:lang w:val="en-US" w:eastAsia="zh-CN" w:bidi="ar"/>
              </w:rPr>
              <w:t>等</w:t>
            </w:r>
            <w:r>
              <w:rPr>
                <w:rFonts w:hint="eastAsia" w:ascii="黑体" w:hAnsi="黑体" w:eastAsia="黑体" w:cs="黑体"/>
                <w:bCs/>
                <w:kern w:val="2"/>
                <w:sz w:val="22"/>
                <w:szCs w:val="22"/>
                <w:lang w:val="en-US" w:eastAsia="zh-CN" w:bidi="ar-SA"/>
              </w:rPr>
              <w:t>;</w:t>
            </w:r>
          </w:p>
          <w:p w14:paraId="6C820C77">
            <w:pPr>
              <w:pStyle w:val="17"/>
              <w:keepNext w:val="0"/>
              <w:keepLines w:val="0"/>
              <w:widowControl/>
              <w:numPr>
                <w:ilvl w:val="0"/>
                <w:numId w:val="3"/>
              </w:numPr>
              <w:suppressLineNumbers w:val="0"/>
              <w:kinsoku w:val="0"/>
              <w:overflowPunct w:val="0"/>
              <w:spacing w:before="0" w:beforeAutospacing="0" w:after="0" w:afterAutospacing="0" w:line="400" w:lineRule="exact"/>
              <w:ind w:right="0"/>
              <w:jc w:val="left"/>
              <w:rPr>
                <w:rFonts w:hint="eastAsia" w:ascii="黑体" w:hAnsi="黑体" w:eastAsia="黑体" w:cs="黑体"/>
                <w:bCs/>
                <w:kern w:val="2"/>
                <w:sz w:val="22"/>
                <w:szCs w:val="20"/>
                <w:lang w:val="en-US" w:eastAsia="zh-CN" w:bidi="ar-SA"/>
              </w:rPr>
            </w:pPr>
            <w:r>
              <w:rPr>
                <w:rFonts w:hint="eastAsia" w:ascii="黑体" w:hAnsi="黑体" w:eastAsia="黑体" w:cs="黑体"/>
                <w:bCs/>
                <w:kern w:val="2"/>
                <w:sz w:val="22"/>
                <w:szCs w:val="20"/>
                <w:lang w:val="en-US" w:eastAsia="zh-CN" w:bidi="ar-SA"/>
              </w:rPr>
              <w:t>以时间为轴实现患者行为跟踪，记录每个时间点的医疗措施与医疗记录。</w:t>
            </w:r>
            <w:r>
              <w:rPr>
                <w:rFonts w:hint="eastAsia" w:ascii="黑体" w:hAnsi="黑体" w:eastAsia="黑体" w:cs="黑体"/>
                <w:color w:val="000000"/>
                <w:kern w:val="0"/>
                <w:sz w:val="22"/>
                <w:lang w:bidi="ar"/>
              </w:rPr>
              <w:t>支持以时间轴形式展示</w:t>
            </w:r>
            <w:r>
              <w:rPr>
                <w:rFonts w:hint="eastAsia" w:ascii="黑体" w:hAnsi="黑体" w:eastAsia="黑体" w:cs="黑体"/>
                <w:color w:val="000000"/>
                <w:kern w:val="0"/>
                <w:sz w:val="22"/>
                <w:lang w:val="en-US" w:eastAsia="zh-CN" w:bidi="ar"/>
              </w:rPr>
              <w:t>每个</w:t>
            </w:r>
            <w:r>
              <w:rPr>
                <w:rFonts w:hint="eastAsia" w:ascii="黑体" w:hAnsi="黑体" w:eastAsia="黑体" w:cs="黑体"/>
                <w:color w:val="000000"/>
                <w:kern w:val="0"/>
                <w:sz w:val="22"/>
                <w:lang w:bidi="ar"/>
              </w:rPr>
              <w:t>患者就诊关键事件和</w:t>
            </w:r>
            <w:r>
              <w:rPr>
                <w:rFonts w:hint="eastAsia" w:ascii="黑体" w:hAnsi="黑体" w:eastAsia="黑体" w:cs="黑体"/>
                <w:color w:val="000000"/>
                <w:kern w:val="0"/>
                <w:sz w:val="22"/>
                <w:lang w:val="en-US" w:eastAsia="zh-CN" w:bidi="ar"/>
              </w:rPr>
              <w:t>时间</w:t>
            </w:r>
            <w:r>
              <w:rPr>
                <w:rFonts w:hint="eastAsia" w:ascii="黑体" w:hAnsi="黑体" w:eastAsia="黑体" w:cs="黑体"/>
                <w:color w:val="000000"/>
                <w:kern w:val="0"/>
                <w:sz w:val="22"/>
                <w:lang w:bidi="ar"/>
              </w:rPr>
              <w:t>，如：分诊时间、接诊时间、医嘱下达时间、检查时间、检验时间、入抢时间、出科时间等</w:t>
            </w:r>
            <w:r>
              <w:rPr>
                <w:rFonts w:hint="eastAsia" w:ascii="黑体" w:hAnsi="黑体" w:eastAsia="黑体" w:cs="黑体"/>
                <w:bCs/>
                <w:kern w:val="2"/>
                <w:sz w:val="22"/>
                <w:szCs w:val="22"/>
                <w:lang w:val="en-US" w:eastAsia="zh-CN" w:bidi="ar-SA"/>
              </w:rPr>
              <w:t>;</w:t>
            </w:r>
          </w:p>
          <w:p w14:paraId="6E57FFC4">
            <w:pPr>
              <w:pStyle w:val="17"/>
              <w:keepNext w:val="0"/>
              <w:keepLines w:val="0"/>
              <w:widowControl/>
              <w:numPr>
                <w:ilvl w:val="0"/>
                <w:numId w:val="3"/>
              </w:numPr>
              <w:suppressLineNumbers w:val="0"/>
              <w:kinsoku w:val="0"/>
              <w:overflowPunct w:val="0"/>
              <w:spacing w:before="0" w:beforeAutospacing="0" w:after="0" w:afterAutospacing="0" w:line="400" w:lineRule="exact"/>
              <w:ind w:right="0"/>
              <w:jc w:val="left"/>
              <w:rPr>
                <w:rFonts w:hint="eastAsia" w:ascii="黑体" w:hAnsi="黑体" w:eastAsia="黑体" w:cs="黑体"/>
                <w:bCs/>
                <w:kern w:val="2"/>
                <w:sz w:val="22"/>
                <w:szCs w:val="20"/>
                <w:lang w:val="en-US" w:eastAsia="zh-CN" w:bidi="ar-SA"/>
              </w:rPr>
            </w:pPr>
            <w:r>
              <w:rPr>
                <w:rFonts w:hint="eastAsia" w:ascii="黑体" w:hAnsi="黑体" w:eastAsia="黑体" w:cs="黑体"/>
                <w:bCs/>
                <w:kern w:val="2"/>
                <w:sz w:val="22"/>
                <w:szCs w:val="20"/>
                <w:lang w:val="en-US" w:eastAsia="zh-CN" w:bidi="ar-SA"/>
              </w:rPr>
              <w:t>支持对病情严重需要手术治疗的患者，进行手术登记，并对接手麻系统，预约手术日期、手术科室、基本检验项目结果， 为患者建立快速应急通道</w:t>
            </w:r>
            <w:r>
              <w:rPr>
                <w:rFonts w:hint="eastAsia" w:ascii="黑体" w:hAnsi="黑体" w:eastAsia="黑体" w:cs="黑体"/>
                <w:bCs/>
                <w:kern w:val="2"/>
                <w:sz w:val="22"/>
                <w:szCs w:val="22"/>
                <w:lang w:val="en-US" w:eastAsia="zh-CN" w:bidi="ar-SA"/>
              </w:rPr>
              <w:t>;</w:t>
            </w:r>
          </w:p>
          <w:p w14:paraId="47E781EB">
            <w:pPr>
              <w:pStyle w:val="17"/>
              <w:keepNext w:val="0"/>
              <w:keepLines w:val="0"/>
              <w:widowControl/>
              <w:numPr>
                <w:ilvl w:val="0"/>
                <w:numId w:val="3"/>
              </w:numPr>
              <w:suppressLineNumbers w:val="0"/>
              <w:kinsoku w:val="0"/>
              <w:overflowPunct w:val="0"/>
              <w:spacing w:before="0" w:beforeAutospacing="0" w:after="0" w:afterAutospacing="0" w:line="400" w:lineRule="exact"/>
              <w:ind w:right="0"/>
              <w:jc w:val="left"/>
              <w:rPr>
                <w:rFonts w:hint="eastAsia" w:ascii="黑体" w:hAnsi="黑体" w:eastAsia="黑体" w:cs="黑体"/>
                <w:bCs/>
                <w:sz w:val="22"/>
                <w:highlight w:val="none"/>
                <w:lang w:val="en-US" w:eastAsia="zh-CN"/>
              </w:rPr>
            </w:pPr>
            <w:r>
              <w:rPr>
                <w:rFonts w:hint="eastAsia" w:ascii="黑体" w:hAnsi="黑体" w:eastAsia="黑体" w:cs="黑体"/>
                <w:bCs/>
                <w:sz w:val="22"/>
                <w:highlight w:val="none"/>
                <w:lang w:val="en-US" w:eastAsia="zh-CN"/>
              </w:rPr>
              <w:t>支持对有传染病的患者，进行登记上报，在HIS允许的情况下，系统对接HIS，将传染病患者数据同步到HIS系统</w:t>
            </w:r>
            <w:r>
              <w:rPr>
                <w:rFonts w:hint="eastAsia" w:ascii="黑体" w:hAnsi="黑体" w:eastAsia="黑体" w:cs="黑体"/>
                <w:bCs/>
                <w:kern w:val="2"/>
                <w:sz w:val="22"/>
                <w:szCs w:val="22"/>
                <w:lang w:val="en-US" w:eastAsia="zh-CN" w:bidi="ar-SA"/>
              </w:rPr>
              <w:t>;</w:t>
            </w:r>
          </w:p>
          <w:p w14:paraId="7DB1E252">
            <w:pPr>
              <w:pStyle w:val="17"/>
              <w:keepNext w:val="0"/>
              <w:keepLines w:val="0"/>
              <w:widowControl/>
              <w:numPr>
                <w:ilvl w:val="0"/>
                <w:numId w:val="3"/>
              </w:numPr>
              <w:suppressLineNumbers w:val="0"/>
              <w:kinsoku w:val="0"/>
              <w:overflowPunct w:val="0"/>
              <w:spacing w:before="0" w:beforeAutospacing="0" w:after="0" w:afterAutospacing="0" w:line="400" w:lineRule="exact"/>
              <w:ind w:right="0" w:rightChars="0"/>
              <w:jc w:val="left"/>
              <w:rPr>
                <w:rFonts w:hint="eastAsia" w:ascii="仿宋" w:hAnsi="仿宋" w:eastAsia="仿宋" w:cstheme="minorBidi"/>
                <w:bCs/>
                <w:kern w:val="2"/>
                <w:sz w:val="21"/>
                <w:szCs w:val="21"/>
                <w:lang w:val="en-US" w:eastAsia="zh-CN" w:bidi="ar-SA"/>
              </w:rPr>
            </w:pPr>
            <w:r>
              <w:rPr>
                <w:rFonts w:hint="eastAsia" w:ascii="黑体" w:hAnsi="黑体" w:eastAsia="黑体" w:cs="黑体"/>
                <w:bCs/>
                <w:kern w:val="2"/>
                <w:sz w:val="22"/>
                <w:szCs w:val="20"/>
                <w:lang w:val="en-US" w:eastAsia="zh-CN" w:bidi="ar-SA"/>
              </w:rPr>
              <w:t>支持嵌入患者360视图，并向集成平台传递所需要的信息;</w:t>
            </w:r>
          </w:p>
        </w:tc>
        <w:tc>
          <w:tcPr>
            <w:tcW w:w="785" w:type="dxa"/>
            <w:tcBorders>
              <w:top w:val="single" w:color="auto" w:sz="4" w:space="0"/>
              <w:left w:val="single" w:color="auto" w:sz="4" w:space="0"/>
              <w:bottom w:val="single" w:color="auto" w:sz="4" w:space="0"/>
              <w:right w:val="single" w:color="auto" w:sz="4" w:space="0"/>
            </w:tcBorders>
            <w:noWrap w:val="0"/>
            <w:vAlign w:val="top"/>
          </w:tcPr>
          <w:p w14:paraId="5EB93AC4">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1340F1E2">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565DACE2">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5F7AE3FA">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61FE9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5" w:hRule="atLeast"/>
          <w:jc w:val="center"/>
        </w:trPr>
        <w:tc>
          <w:tcPr>
            <w:tcW w:w="684" w:type="dxa"/>
            <w:tcBorders>
              <w:top w:val="single" w:color="auto" w:sz="4" w:space="0"/>
              <w:left w:val="single" w:color="auto" w:sz="4" w:space="0"/>
              <w:bottom w:val="single" w:color="auto" w:sz="4" w:space="0"/>
              <w:right w:val="single" w:color="auto" w:sz="4" w:space="0"/>
            </w:tcBorders>
            <w:noWrap w:val="0"/>
            <w:vAlign w:val="center"/>
          </w:tcPr>
          <w:p w14:paraId="63FB5598">
            <w:pPr>
              <w:pStyle w:val="17"/>
              <w:widowControl/>
              <w:kinsoku w:val="0"/>
              <w:overflowPunct w:val="0"/>
              <w:spacing w:line="400" w:lineRule="exact"/>
              <w:rPr>
                <w:rFonts w:hint="default"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4</w:t>
            </w:r>
          </w:p>
        </w:tc>
        <w:tc>
          <w:tcPr>
            <w:tcW w:w="1179" w:type="dxa"/>
            <w:tcBorders>
              <w:top w:val="single" w:color="auto" w:sz="4" w:space="0"/>
              <w:left w:val="single" w:color="auto" w:sz="4" w:space="0"/>
              <w:bottom w:val="single" w:color="auto" w:sz="4" w:space="0"/>
              <w:right w:val="single" w:color="auto" w:sz="4" w:space="0"/>
            </w:tcBorders>
            <w:noWrap w:val="0"/>
            <w:vAlign w:val="center"/>
          </w:tcPr>
          <w:p w14:paraId="66552375">
            <w:pPr>
              <w:pStyle w:val="17"/>
              <w:keepNext w:val="0"/>
              <w:keepLines w:val="0"/>
              <w:widowControl/>
              <w:suppressLineNumbers w:val="0"/>
              <w:kinsoku w:val="0"/>
              <w:overflowPunct w:val="0"/>
              <w:spacing w:before="0" w:beforeAutospacing="0" w:after="0" w:afterAutospacing="0" w:line="400" w:lineRule="exact"/>
              <w:ind w:right="0" w:rightChars="0"/>
              <w:jc w:val="center"/>
              <w:rPr>
                <w:rFonts w:hint="eastAsia" w:ascii="仿宋" w:hAnsi="仿宋" w:eastAsia="仿宋" w:cstheme="minorBidi"/>
                <w:bCs/>
                <w:kern w:val="2"/>
                <w:sz w:val="21"/>
                <w:szCs w:val="21"/>
                <w:lang w:val="en-US" w:eastAsia="zh-CN" w:bidi="ar-SA"/>
              </w:rPr>
            </w:pPr>
            <w:r>
              <w:rPr>
                <w:rFonts w:hint="eastAsia" w:ascii="黑体" w:hAnsi="黑体" w:eastAsia="黑体" w:cs="黑体"/>
                <w:color w:val="000000"/>
                <w:kern w:val="0"/>
                <w:sz w:val="22"/>
                <w:szCs w:val="22"/>
                <w:lang w:bidi="ar"/>
              </w:rPr>
              <w:t>急诊</w:t>
            </w:r>
            <w:r>
              <w:rPr>
                <w:rFonts w:hint="eastAsia" w:ascii="黑体" w:hAnsi="黑体" w:eastAsia="黑体" w:cs="黑体"/>
                <w:color w:val="000000"/>
                <w:kern w:val="0"/>
                <w:sz w:val="22"/>
                <w:szCs w:val="22"/>
                <w:lang w:val="en-US" w:eastAsia="zh-CN" w:bidi="ar"/>
              </w:rPr>
              <w:t>留观/抢救</w:t>
            </w:r>
            <w:r>
              <w:rPr>
                <w:rFonts w:hint="eastAsia" w:ascii="黑体" w:hAnsi="黑体" w:eastAsia="黑体" w:cs="黑体"/>
                <w:color w:val="000000"/>
                <w:kern w:val="0"/>
                <w:sz w:val="22"/>
                <w:szCs w:val="22"/>
                <w:lang w:bidi="ar"/>
              </w:rPr>
              <w:t>护</w:t>
            </w:r>
            <w:r>
              <w:rPr>
                <w:rFonts w:hint="eastAsia" w:ascii="黑体" w:hAnsi="黑体" w:eastAsia="黑体" w:cs="黑体"/>
                <w:color w:val="000000"/>
                <w:kern w:val="0"/>
                <w:sz w:val="22"/>
                <w:szCs w:val="22"/>
                <w:lang w:val="en-US" w:eastAsia="zh-CN" w:bidi="ar"/>
              </w:rPr>
              <w:t>士</w:t>
            </w:r>
            <w:r>
              <w:rPr>
                <w:rFonts w:hint="eastAsia" w:ascii="黑体" w:hAnsi="黑体" w:eastAsia="黑体" w:cs="黑体"/>
                <w:color w:val="000000"/>
                <w:kern w:val="0"/>
                <w:sz w:val="22"/>
                <w:szCs w:val="22"/>
                <w:lang w:bidi="ar"/>
              </w:rPr>
              <w:t>工作站</w:t>
            </w:r>
          </w:p>
        </w:tc>
        <w:tc>
          <w:tcPr>
            <w:tcW w:w="4278" w:type="dxa"/>
            <w:tcBorders>
              <w:top w:val="single" w:color="auto" w:sz="4" w:space="0"/>
              <w:left w:val="single" w:color="auto" w:sz="4" w:space="0"/>
              <w:bottom w:val="single" w:color="auto" w:sz="4" w:space="0"/>
              <w:right w:val="single" w:color="auto" w:sz="4" w:space="0"/>
            </w:tcBorders>
            <w:noWrap w:val="0"/>
            <w:vAlign w:val="top"/>
          </w:tcPr>
          <w:p w14:paraId="3CE40358">
            <w:pPr>
              <w:pStyle w:val="17"/>
              <w:keepNext w:val="0"/>
              <w:keepLines w:val="0"/>
              <w:widowControl/>
              <w:numPr>
                <w:ilvl w:val="0"/>
                <w:numId w:val="4"/>
              </w:numPr>
              <w:suppressLineNumbers w:val="0"/>
              <w:kinsoku w:val="0"/>
              <w:overflowPunct w:val="0"/>
              <w:spacing w:before="0" w:beforeAutospacing="0" w:after="0" w:afterAutospacing="0" w:line="400" w:lineRule="exact"/>
              <w:ind w:right="0" w:rightChars="0"/>
              <w:jc w:val="left"/>
              <w:rPr>
                <w:rFonts w:hint="eastAsia" w:ascii="黑体" w:hAnsi="黑体" w:eastAsia="黑体" w:cs="黑体"/>
                <w:bCs/>
                <w:sz w:val="22"/>
                <w:highlight w:val="none"/>
                <w:lang w:val="en-US" w:eastAsia="zh-CN"/>
              </w:rPr>
            </w:pPr>
            <w:r>
              <w:rPr>
                <w:rFonts w:hint="eastAsia" w:ascii="黑体" w:hAnsi="黑体" w:eastAsia="黑体" w:cs="黑体"/>
                <w:bCs/>
                <w:sz w:val="22"/>
                <w:highlight w:val="none"/>
                <w:lang w:val="en-US" w:eastAsia="zh-CN"/>
              </w:rPr>
              <w:t>系统提供抢救室/留观室床位维护功能，包括床位数量、床位名称、床位特殊用途说明等，可将床位分为卒中单元，创伤单元等</w:t>
            </w:r>
            <w:r>
              <w:rPr>
                <w:rFonts w:hint="eastAsia" w:ascii="黑体" w:hAnsi="黑体" w:eastAsia="黑体" w:cs="黑体"/>
                <w:bCs/>
                <w:kern w:val="2"/>
                <w:sz w:val="22"/>
                <w:szCs w:val="22"/>
                <w:lang w:val="en-US" w:eastAsia="zh-CN" w:bidi="ar-SA"/>
              </w:rPr>
              <w:t>;</w:t>
            </w:r>
          </w:p>
          <w:p w14:paraId="17C87B53">
            <w:pPr>
              <w:pStyle w:val="17"/>
              <w:keepNext w:val="0"/>
              <w:keepLines w:val="0"/>
              <w:widowControl/>
              <w:numPr>
                <w:ilvl w:val="0"/>
                <w:numId w:val="4"/>
              </w:numPr>
              <w:suppressLineNumbers w:val="0"/>
              <w:kinsoku w:val="0"/>
              <w:overflowPunct w:val="0"/>
              <w:spacing w:before="0" w:beforeAutospacing="0" w:after="0" w:afterAutospacing="0" w:line="400" w:lineRule="exact"/>
              <w:ind w:right="0" w:rightChars="0"/>
              <w:jc w:val="left"/>
              <w:rPr>
                <w:rFonts w:hint="eastAsia" w:ascii="黑体" w:hAnsi="黑体" w:eastAsia="黑体" w:cs="黑体"/>
                <w:bCs/>
                <w:kern w:val="0"/>
                <w:sz w:val="22"/>
                <w:szCs w:val="22"/>
                <w:lang w:val="en-US" w:eastAsia="zh-CN" w:bidi="zh-CN"/>
                <w14:ligatures w14:val="none"/>
              </w:rPr>
            </w:pPr>
            <w:r>
              <w:rPr>
                <w:rFonts w:hint="eastAsia" w:ascii="黑体" w:hAnsi="黑体" w:eastAsia="黑体" w:cs="黑体"/>
                <w:bCs/>
                <w:kern w:val="0"/>
                <w:sz w:val="22"/>
                <w:szCs w:val="22"/>
                <w:lang w:val="en-US" w:eastAsia="zh-CN" w:bidi="zh-CN"/>
                <w14:ligatures w14:val="none"/>
              </w:rPr>
              <w:t>支持灵活的床位管理，支持为空床分配患者，支持以卡片或列表等形式表达患者信息、滞留时间、诊断、病情等级、是否绿通情况等</w:t>
            </w:r>
            <w:r>
              <w:rPr>
                <w:rFonts w:hint="eastAsia" w:ascii="黑体" w:hAnsi="黑体" w:eastAsia="黑体" w:cs="黑体"/>
                <w:bCs/>
                <w:kern w:val="2"/>
                <w:sz w:val="22"/>
                <w:szCs w:val="22"/>
                <w:lang w:val="en-US" w:eastAsia="zh-CN" w:bidi="ar-SA"/>
              </w:rPr>
              <w:t>;</w:t>
            </w:r>
          </w:p>
          <w:p w14:paraId="10EAF429">
            <w:pPr>
              <w:pStyle w:val="17"/>
              <w:keepNext w:val="0"/>
              <w:keepLines w:val="0"/>
              <w:widowControl/>
              <w:numPr>
                <w:ilvl w:val="0"/>
                <w:numId w:val="4"/>
              </w:numPr>
              <w:suppressLineNumbers w:val="0"/>
              <w:kinsoku w:val="0"/>
              <w:overflowPunct w:val="0"/>
              <w:spacing w:before="0" w:beforeAutospacing="0" w:after="0" w:afterAutospacing="0" w:line="400" w:lineRule="exact"/>
              <w:ind w:right="0" w:rightChars="0"/>
              <w:jc w:val="left"/>
              <w:rPr>
                <w:rFonts w:hint="eastAsia" w:ascii="黑体" w:hAnsi="黑体" w:eastAsia="黑体" w:cs="黑体"/>
                <w:bCs/>
                <w:sz w:val="22"/>
                <w:lang w:val="en-US" w:eastAsia="zh-CN"/>
              </w:rPr>
            </w:pPr>
            <w:r>
              <w:rPr>
                <w:rFonts w:hint="eastAsia" w:ascii="黑体" w:hAnsi="黑体" w:eastAsia="黑体" w:cs="黑体"/>
                <w:bCs/>
                <w:kern w:val="0"/>
                <w:sz w:val="22"/>
                <w:szCs w:val="22"/>
                <w:lang w:val="en-US" w:eastAsia="zh-CN" w:bidi="zh-CN"/>
                <w14:ligatures w14:val="none"/>
              </w:rPr>
              <w:t>支持在床卡上直接看到患者的滞留时间；空床的床卡，护士右键可以患者分配；非空床的床卡，护士右键更换床位、单击查看患者的入室信息</w:t>
            </w:r>
            <w:r>
              <w:rPr>
                <w:rFonts w:hint="eastAsia" w:ascii="黑体" w:hAnsi="黑体" w:eastAsia="黑体" w:cs="黑体"/>
                <w:bCs/>
                <w:kern w:val="2"/>
                <w:sz w:val="22"/>
                <w:szCs w:val="22"/>
                <w:lang w:val="en-US" w:eastAsia="zh-CN" w:bidi="ar-SA"/>
              </w:rPr>
              <w:t>;</w:t>
            </w:r>
          </w:p>
          <w:p w14:paraId="6DCEB2D8">
            <w:pPr>
              <w:pStyle w:val="17"/>
              <w:keepNext w:val="0"/>
              <w:keepLines w:val="0"/>
              <w:widowControl/>
              <w:numPr>
                <w:ilvl w:val="0"/>
                <w:numId w:val="4"/>
              </w:numPr>
              <w:suppressLineNumbers w:val="0"/>
              <w:kinsoku w:val="0"/>
              <w:overflowPunct w:val="0"/>
              <w:spacing w:before="0" w:beforeAutospacing="0" w:after="0" w:afterAutospacing="0" w:line="400" w:lineRule="exact"/>
              <w:ind w:right="0" w:rightChars="0"/>
              <w:jc w:val="left"/>
              <w:rPr>
                <w:rFonts w:hint="eastAsia" w:ascii="黑体" w:hAnsi="黑体" w:eastAsia="黑体" w:cs="黑体"/>
                <w:bCs/>
                <w:sz w:val="22"/>
                <w:lang w:val="en-US" w:eastAsia="zh-CN"/>
              </w:rPr>
            </w:pPr>
            <w:r>
              <w:rPr>
                <w:rFonts w:hint="eastAsia" w:ascii="黑体" w:hAnsi="黑体" w:eastAsia="黑体" w:cs="黑体"/>
                <w:bCs/>
                <w:sz w:val="22"/>
                <w:lang w:val="en-US" w:eastAsia="zh-CN"/>
              </w:rPr>
              <w:t>支持护士所见即所得，快速操作，例如补打腕带，查看患者病情详细情况、为患者指明去向，取消入室</w:t>
            </w:r>
            <w:r>
              <w:rPr>
                <w:rFonts w:hint="eastAsia" w:ascii="黑体" w:hAnsi="黑体" w:eastAsia="黑体" w:cs="黑体"/>
                <w:bCs/>
                <w:kern w:val="2"/>
                <w:sz w:val="22"/>
                <w:szCs w:val="22"/>
                <w:lang w:val="en-US" w:eastAsia="zh-CN" w:bidi="ar-SA"/>
              </w:rPr>
              <w:t>;</w:t>
            </w:r>
          </w:p>
          <w:p w14:paraId="52A10000">
            <w:pPr>
              <w:pStyle w:val="17"/>
              <w:keepNext w:val="0"/>
              <w:keepLines w:val="0"/>
              <w:widowControl/>
              <w:numPr>
                <w:ilvl w:val="0"/>
                <w:numId w:val="4"/>
              </w:numPr>
              <w:suppressLineNumbers w:val="0"/>
              <w:kinsoku w:val="0"/>
              <w:overflowPunct w:val="0"/>
              <w:spacing w:before="0" w:beforeAutospacing="0" w:after="0" w:afterAutospacing="0" w:line="400" w:lineRule="exact"/>
              <w:ind w:right="0" w:rightChars="0"/>
              <w:jc w:val="left"/>
              <w:rPr>
                <w:rFonts w:hint="eastAsia" w:ascii="黑体" w:hAnsi="黑体" w:eastAsia="黑体" w:cs="黑体"/>
                <w:bCs/>
                <w:sz w:val="22"/>
                <w:lang w:val="en-US" w:eastAsia="zh-CN"/>
              </w:rPr>
            </w:pPr>
            <w:r>
              <w:rPr>
                <w:rFonts w:hint="eastAsia" w:ascii="黑体" w:hAnsi="黑体" w:eastAsia="黑体" w:cs="黑体"/>
                <w:bCs/>
                <w:sz w:val="22"/>
                <w:lang w:val="en-US" w:eastAsia="zh-CN"/>
              </w:rPr>
              <w:t>系统支持集成本院CA电子签名系统，有条件情况下支持CA扫码登录等功能</w:t>
            </w:r>
            <w:r>
              <w:rPr>
                <w:rFonts w:hint="eastAsia" w:ascii="黑体" w:hAnsi="黑体" w:eastAsia="黑体" w:cs="黑体"/>
                <w:bCs/>
                <w:kern w:val="2"/>
                <w:sz w:val="22"/>
                <w:szCs w:val="22"/>
                <w:lang w:val="en-US" w:eastAsia="zh-CN" w:bidi="ar-SA"/>
              </w:rPr>
              <w:t>;</w:t>
            </w:r>
          </w:p>
          <w:p w14:paraId="1A39181D">
            <w:pPr>
              <w:pStyle w:val="17"/>
              <w:keepNext w:val="0"/>
              <w:keepLines w:val="0"/>
              <w:widowControl/>
              <w:numPr>
                <w:ilvl w:val="0"/>
                <w:numId w:val="4"/>
              </w:numPr>
              <w:suppressLineNumbers w:val="0"/>
              <w:kinsoku w:val="0"/>
              <w:overflowPunct w:val="0"/>
              <w:spacing w:before="0" w:beforeAutospacing="0" w:after="0" w:afterAutospacing="0" w:line="400" w:lineRule="exact"/>
              <w:ind w:right="0" w:rightChars="0"/>
              <w:jc w:val="left"/>
              <w:rPr>
                <w:rFonts w:hint="eastAsia" w:ascii="黑体" w:hAnsi="黑体" w:eastAsia="黑体" w:cs="黑体"/>
                <w:bCs/>
                <w:sz w:val="22"/>
                <w:highlight w:val="none"/>
                <w:lang w:val="en-US" w:eastAsia="zh-CN"/>
              </w:rPr>
            </w:pPr>
            <w:r>
              <w:rPr>
                <w:rFonts w:hint="eastAsia" w:ascii="黑体" w:hAnsi="黑体" w:eastAsia="黑体" w:cs="黑体"/>
                <w:bCs/>
                <w:sz w:val="22"/>
                <w:highlight w:val="none"/>
                <w:lang w:val="en-US" w:eastAsia="zh-CN"/>
              </w:rPr>
              <w:t>支持患者入院对患者进行分类并标记，如分为胸痛、卒中、创伤、其他等</w:t>
            </w:r>
            <w:r>
              <w:rPr>
                <w:rFonts w:hint="eastAsia" w:ascii="黑体" w:hAnsi="黑体" w:eastAsia="黑体" w:cs="黑体"/>
                <w:bCs/>
                <w:kern w:val="2"/>
                <w:sz w:val="22"/>
                <w:szCs w:val="22"/>
                <w:lang w:val="en-US" w:eastAsia="zh-CN" w:bidi="ar-SA"/>
              </w:rPr>
              <w:t>;</w:t>
            </w:r>
          </w:p>
          <w:p w14:paraId="554FDC57">
            <w:pPr>
              <w:pStyle w:val="17"/>
              <w:keepNext w:val="0"/>
              <w:keepLines w:val="0"/>
              <w:widowControl/>
              <w:numPr>
                <w:ilvl w:val="0"/>
                <w:numId w:val="4"/>
              </w:numPr>
              <w:suppressLineNumbers w:val="0"/>
              <w:kinsoku w:val="0"/>
              <w:overflowPunct w:val="0"/>
              <w:spacing w:before="0" w:beforeAutospacing="0" w:after="0" w:afterAutospacing="0" w:line="400" w:lineRule="exact"/>
              <w:ind w:right="0" w:rightChars="0"/>
              <w:jc w:val="left"/>
              <w:rPr>
                <w:rFonts w:hint="eastAsia" w:ascii="黑体" w:hAnsi="黑体" w:eastAsia="黑体" w:cs="黑体"/>
                <w:bCs/>
                <w:sz w:val="22"/>
                <w:highlight w:val="none"/>
                <w:lang w:val="en-US" w:eastAsia="zh-CN"/>
              </w:rPr>
            </w:pPr>
            <w:r>
              <w:rPr>
                <w:rFonts w:hint="eastAsia" w:ascii="黑体" w:hAnsi="黑体" w:eastAsia="黑体" w:cs="黑体"/>
                <w:bCs/>
                <w:sz w:val="22"/>
                <w:highlight w:val="none"/>
                <w:lang w:val="en-US" w:eastAsia="zh-CN"/>
              </w:rPr>
              <w:t>要求各个类型患者能够记录筛选各自特定元素，比如系统能够记录脑梗死的发病时间，ECG CT 抽血 MRI等检查时间，自动计算DNT时间等，包括胸痛的各个时间点</w:t>
            </w:r>
            <w:r>
              <w:rPr>
                <w:rFonts w:hint="eastAsia" w:ascii="黑体" w:hAnsi="黑体" w:eastAsia="黑体" w:cs="黑体"/>
                <w:bCs/>
                <w:kern w:val="2"/>
                <w:sz w:val="22"/>
                <w:szCs w:val="22"/>
                <w:lang w:val="en-US" w:eastAsia="zh-CN" w:bidi="ar-SA"/>
              </w:rPr>
              <w:t>;</w:t>
            </w:r>
          </w:p>
          <w:p w14:paraId="48C5B459">
            <w:pPr>
              <w:pStyle w:val="17"/>
              <w:keepNext w:val="0"/>
              <w:keepLines w:val="0"/>
              <w:widowControl/>
              <w:numPr>
                <w:ilvl w:val="0"/>
                <w:numId w:val="4"/>
              </w:numPr>
              <w:suppressLineNumbers w:val="0"/>
              <w:kinsoku w:val="0"/>
              <w:overflowPunct w:val="0"/>
              <w:spacing w:before="0" w:beforeAutospacing="0" w:after="0" w:afterAutospacing="0" w:line="400" w:lineRule="exact"/>
              <w:ind w:right="0" w:rightChars="0"/>
              <w:jc w:val="left"/>
              <w:rPr>
                <w:rFonts w:hint="eastAsia" w:ascii="黑体" w:hAnsi="黑体" w:eastAsia="黑体" w:cs="黑体"/>
                <w:bCs/>
                <w:sz w:val="22"/>
                <w:highlight w:val="none"/>
                <w:lang w:val="en-US" w:eastAsia="zh-CN"/>
              </w:rPr>
            </w:pPr>
            <w:r>
              <w:rPr>
                <w:rFonts w:hint="eastAsia" w:ascii="黑体" w:hAnsi="黑体" w:eastAsia="黑体" w:cs="黑体"/>
                <w:bCs/>
                <w:sz w:val="22"/>
                <w:highlight w:val="none"/>
                <w:lang w:val="en-US" w:eastAsia="zh-CN"/>
              </w:rPr>
              <w:t>支持胸痛卒中病人各个时间节点管理，支持统计一二级患者停留时间，一二级时间中位数统计等其他时间节点展示统计需求</w:t>
            </w:r>
            <w:r>
              <w:rPr>
                <w:rFonts w:hint="eastAsia" w:ascii="黑体" w:hAnsi="黑体" w:eastAsia="黑体" w:cs="黑体"/>
                <w:bCs/>
                <w:kern w:val="2"/>
                <w:sz w:val="22"/>
                <w:szCs w:val="22"/>
                <w:lang w:val="en-US" w:eastAsia="zh-CN" w:bidi="ar-SA"/>
              </w:rPr>
              <w:t>;</w:t>
            </w:r>
          </w:p>
          <w:p w14:paraId="4B8B8418">
            <w:pPr>
              <w:pStyle w:val="17"/>
              <w:keepNext w:val="0"/>
              <w:keepLines w:val="0"/>
              <w:widowControl/>
              <w:numPr>
                <w:ilvl w:val="0"/>
                <w:numId w:val="4"/>
              </w:numPr>
              <w:suppressLineNumbers w:val="0"/>
              <w:kinsoku w:val="0"/>
              <w:overflowPunct w:val="0"/>
              <w:spacing w:before="0" w:beforeAutospacing="0" w:after="0" w:afterAutospacing="0" w:line="400" w:lineRule="exact"/>
              <w:ind w:right="0" w:rightChars="0"/>
              <w:jc w:val="left"/>
              <w:rPr>
                <w:rFonts w:hint="eastAsia" w:ascii="黑体" w:hAnsi="黑体" w:eastAsia="黑体" w:cs="黑体"/>
                <w:bCs/>
                <w:sz w:val="22"/>
                <w:highlight w:val="none"/>
                <w:lang w:val="en-US" w:eastAsia="zh-CN"/>
              </w:rPr>
            </w:pPr>
            <w:r>
              <w:rPr>
                <w:rFonts w:hint="eastAsia" w:ascii="黑体" w:hAnsi="黑体" w:eastAsia="黑体" w:cs="黑体"/>
                <w:bCs/>
                <w:sz w:val="22"/>
                <w:highlight w:val="none"/>
                <w:lang w:val="en-US" w:eastAsia="zh-CN"/>
              </w:rPr>
              <w:t>具有患者救治全流程时间轴展示功能，展示各个类型患者的特定信息，支持以时间和事件两个维度展示，支持展示患者的动态救治路线,记录患者去向和时间。支持统计患者出入院时间</w:t>
            </w:r>
            <w:r>
              <w:rPr>
                <w:rFonts w:hint="eastAsia" w:ascii="黑体" w:hAnsi="黑体" w:eastAsia="黑体" w:cs="黑体"/>
                <w:bCs/>
                <w:kern w:val="2"/>
                <w:sz w:val="22"/>
                <w:szCs w:val="22"/>
                <w:lang w:val="en-US" w:eastAsia="zh-CN" w:bidi="ar-SA"/>
              </w:rPr>
              <w:t>;</w:t>
            </w:r>
          </w:p>
          <w:p w14:paraId="5F158637">
            <w:pPr>
              <w:pStyle w:val="17"/>
              <w:keepNext w:val="0"/>
              <w:keepLines w:val="0"/>
              <w:widowControl/>
              <w:numPr>
                <w:ilvl w:val="0"/>
                <w:numId w:val="4"/>
              </w:numPr>
              <w:suppressLineNumbers w:val="0"/>
              <w:kinsoku w:val="0"/>
              <w:overflowPunct w:val="0"/>
              <w:spacing w:before="0" w:beforeAutospacing="0" w:after="0" w:afterAutospacing="0" w:line="400" w:lineRule="exact"/>
              <w:ind w:right="0" w:rightChars="0"/>
              <w:jc w:val="left"/>
              <w:rPr>
                <w:rFonts w:hint="eastAsia" w:ascii="黑体" w:hAnsi="黑体" w:eastAsia="黑体" w:cs="黑体"/>
                <w:bCs/>
                <w:sz w:val="22"/>
                <w:lang w:val="en-US" w:eastAsia="zh-CN"/>
              </w:rPr>
            </w:pPr>
            <w:r>
              <w:rPr>
                <w:rFonts w:hint="eastAsia" w:ascii="黑体" w:hAnsi="黑体" w:eastAsia="黑体" w:cs="黑体"/>
                <w:bCs/>
                <w:sz w:val="22"/>
                <w:lang w:val="en-US" w:eastAsia="zh-CN"/>
              </w:rPr>
              <w:t>支持显示抢救、留观患者列表，按区域筛选患者列表，按患者就诊状态筛选患者列表，例如全部、待诊、已诊、已结束状态</w:t>
            </w:r>
            <w:r>
              <w:rPr>
                <w:rFonts w:hint="eastAsia" w:ascii="黑体" w:hAnsi="黑体" w:eastAsia="黑体" w:cs="黑体"/>
                <w:bCs/>
                <w:kern w:val="2"/>
                <w:sz w:val="22"/>
                <w:szCs w:val="22"/>
                <w:lang w:val="en-US" w:eastAsia="zh-CN" w:bidi="ar-SA"/>
              </w:rPr>
              <w:t>;</w:t>
            </w:r>
          </w:p>
          <w:p w14:paraId="416E757F">
            <w:pPr>
              <w:pStyle w:val="17"/>
              <w:keepNext w:val="0"/>
              <w:keepLines w:val="0"/>
              <w:widowControl/>
              <w:numPr>
                <w:ilvl w:val="0"/>
                <w:numId w:val="4"/>
              </w:numPr>
              <w:suppressLineNumbers w:val="0"/>
              <w:kinsoku w:val="0"/>
              <w:overflowPunct w:val="0"/>
              <w:spacing w:before="0" w:beforeAutospacing="0" w:after="0" w:afterAutospacing="0" w:line="400" w:lineRule="exact"/>
              <w:ind w:right="0" w:rightChars="0"/>
              <w:jc w:val="left"/>
              <w:rPr>
                <w:rFonts w:hint="eastAsia" w:ascii="黑体" w:hAnsi="黑体" w:eastAsia="黑体" w:cs="黑体"/>
                <w:bCs/>
                <w:sz w:val="22"/>
                <w:lang w:val="en-US" w:eastAsia="zh-CN"/>
              </w:rPr>
            </w:pPr>
            <w:r>
              <w:rPr>
                <w:rFonts w:hint="eastAsia" w:ascii="黑体" w:hAnsi="黑体" w:eastAsia="黑体" w:cs="黑体"/>
                <w:bCs/>
                <w:sz w:val="22"/>
                <w:lang w:val="en-US" w:eastAsia="zh-CN"/>
              </w:rPr>
              <w:t>系统提供抢救室/留观室快速筛选功能，支持按患者就诊去向、不同区域进行患者筛选.支持输入患者姓名、就诊号快速进行患者筛选。支持刷身份证、医保卡、住院号等快速进行患者筛选</w:t>
            </w:r>
            <w:r>
              <w:rPr>
                <w:rFonts w:hint="eastAsia" w:ascii="黑体" w:hAnsi="黑体" w:eastAsia="黑体" w:cs="黑体"/>
                <w:bCs/>
                <w:kern w:val="2"/>
                <w:sz w:val="22"/>
                <w:szCs w:val="22"/>
                <w:lang w:val="en-US" w:eastAsia="zh-CN" w:bidi="ar-SA"/>
              </w:rPr>
              <w:t>;</w:t>
            </w:r>
          </w:p>
          <w:p w14:paraId="6FE7C12C">
            <w:pPr>
              <w:pStyle w:val="17"/>
              <w:keepNext w:val="0"/>
              <w:keepLines w:val="0"/>
              <w:widowControl/>
              <w:numPr>
                <w:ilvl w:val="0"/>
                <w:numId w:val="4"/>
              </w:numPr>
              <w:suppressLineNumbers w:val="0"/>
              <w:kinsoku w:val="0"/>
              <w:overflowPunct w:val="0"/>
              <w:spacing w:before="0" w:beforeAutospacing="0" w:after="0" w:afterAutospacing="0" w:line="400" w:lineRule="exact"/>
              <w:ind w:right="0" w:rightChars="0"/>
              <w:jc w:val="left"/>
              <w:rPr>
                <w:rFonts w:hint="eastAsia" w:ascii="黑体" w:hAnsi="黑体" w:eastAsia="黑体" w:cs="黑体"/>
                <w:bCs/>
                <w:sz w:val="22"/>
                <w:lang w:val="en-US" w:eastAsia="zh-CN"/>
              </w:rPr>
            </w:pPr>
            <w:r>
              <w:rPr>
                <w:rFonts w:hint="eastAsia" w:ascii="黑体" w:hAnsi="黑体" w:eastAsia="黑体" w:cs="黑体"/>
                <w:bCs/>
                <w:sz w:val="22"/>
                <w:lang w:val="en-US" w:eastAsia="zh-CN"/>
              </w:rPr>
              <w:t>支持护士根据患者病情实际情况，修改分诊等级，并说明修改理由</w:t>
            </w:r>
            <w:r>
              <w:rPr>
                <w:rFonts w:hint="eastAsia" w:ascii="黑体" w:hAnsi="黑体" w:eastAsia="黑体" w:cs="黑体"/>
                <w:bCs/>
                <w:kern w:val="2"/>
                <w:sz w:val="22"/>
                <w:szCs w:val="22"/>
                <w:lang w:val="en-US" w:eastAsia="zh-CN" w:bidi="ar-SA"/>
              </w:rPr>
              <w:t>;</w:t>
            </w:r>
          </w:p>
          <w:p w14:paraId="019BE413">
            <w:pPr>
              <w:pStyle w:val="17"/>
              <w:keepNext w:val="0"/>
              <w:keepLines w:val="0"/>
              <w:widowControl/>
              <w:numPr>
                <w:ilvl w:val="0"/>
                <w:numId w:val="4"/>
              </w:numPr>
              <w:suppressLineNumbers w:val="0"/>
              <w:kinsoku w:val="0"/>
              <w:overflowPunct w:val="0"/>
              <w:spacing w:before="0" w:beforeAutospacing="0" w:after="0" w:afterAutospacing="0" w:line="400" w:lineRule="exact"/>
              <w:ind w:right="0" w:rightChars="0"/>
              <w:jc w:val="left"/>
              <w:rPr>
                <w:rFonts w:hint="eastAsia" w:ascii="黑体" w:hAnsi="黑体" w:eastAsia="黑体" w:cs="黑体"/>
                <w:bCs/>
                <w:sz w:val="22"/>
                <w:lang w:val="en-US" w:eastAsia="zh-CN"/>
              </w:rPr>
            </w:pPr>
            <w:r>
              <w:rPr>
                <w:rFonts w:hint="eastAsia" w:ascii="黑体" w:hAnsi="黑体" w:eastAsia="黑体" w:cs="黑体"/>
                <w:bCs/>
                <w:sz w:val="22"/>
                <w:lang w:val="en-US" w:eastAsia="zh-CN"/>
              </w:rPr>
              <w:t>支持查看患者分诊信息详情，查看患者诉/症状、生命体征和评分内容</w:t>
            </w:r>
            <w:r>
              <w:rPr>
                <w:rFonts w:hint="eastAsia" w:ascii="黑体" w:hAnsi="黑体" w:eastAsia="黑体" w:cs="黑体"/>
                <w:bCs/>
                <w:kern w:val="2"/>
                <w:sz w:val="22"/>
                <w:szCs w:val="22"/>
                <w:lang w:val="en-US" w:eastAsia="zh-CN" w:bidi="ar-SA"/>
              </w:rPr>
              <w:t>;</w:t>
            </w:r>
          </w:p>
          <w:p w14:paraId="50F71EEF">
            <w:pPr>
              <w:pStyle w:val="17"/>
              <w:keepNext w:val="0"/>
              <w:keepLines w:val="0"/>
              <w:widowControl/>
              <w:numPr>
                <w:ilvl w:val="0"/>
                <w:numId w:val="4"/>
              </w:numPr>
              <w:suppressLineNumbers w:val="0"/>
              <w:kinsoku w:val="0"/>
              <w:overflowPunct w:val="0"/>
              <w:spacing w:before="0" w:beforeAutospacing="0" w:after="0" w:afterAutospacing="0" w:line="400" w:lineRule="exact"/>
              <w:ind w:right="0" w:rightChars="0"/>
              <w:jc w:val="left"/>
              <w:rPr>
                <w:rFonts w:hint="eastAsia" w:ascii="黑体" w:hAnsi="黑体" w:eastAsia="黑体" w:cs="黑体"/>
                <w:bCs/>
                <w:sz w:val="22"/>
                <w:lang w:val="en-US" w:eastAsia="zh-CN"/>
              </w:rPr>
            </w:pPr>
            <w:r>
              <w:rPr>
                <w:rFonts w:hint="eastAsia" w:ascii="黑体" w:hAnsi="黑体" w:eastAsia="黑体" w:cs="黑体"/>
                <w:bCs/>
                <w:sz w:val="22"/>
                <w:lang w:val="en-US" w:eastAsia="zh-CN"/>
              </w:rPr>
              <w:t>支持急诊护士站具有所需要的所有基本功能诸如医嘱执行、护理文书等</w:t>
            </w:r>
            <w:r>
              <w:rPr>
                <w:rFonts w:hint="eastAsia" w:ascii="黑体" w:hAnsi="黑体" w:eastAsia="黑体" w:cs="黑体"/>
                <w:bCs/>
                <w:kern w:val="2"/>
                <w:sz w:val="22"/>
                <w:szCs w:val="22"/>
                <w:lang w:val="en-US" w:eastAsia="zh-CN" w:bidi="ar-SA"/>
              </w:rPr>
              <w:t>;</w:t>
            </w:r>
          </w:p>
          <w:p w14:paraId="5B8628B1">
            <w:pPr>
              <w:pStyle w:val="17"/>
              <w:keepNext w:val="0"/>
              <w:keepLines w:val="0"/>
              <w:widowControl/>
              <w:numPr>
                <w:ilvl w:val="0"/>
                <w:numId w:val="4"/>
              </w:numPr>
              <w:suppressLineNumbers w:val="0"/>
              <w:kinsoku w:val="0"/>
              <w:overflowPunct w:val="0"/>
              <w:spacing w:before="0" w:beforeAutospacing="0" w:after="0" w:afterAutospacing="0" w:line="400" w:lineRule="exact"/>
              <w:ind w:right="0" w:rightChars="0"/>
              <w:jc w:val="left"/>
              <w:rPr>
                <w:rFonts w:hint="eastAsia" w:ascii="黑体" w:hAnsi="黑体" w:eastAsia="黑体" w:cs="黑体"/>
                <w:bCs/>
                <w:sz w:val="22"/>
                <w:lang w:val="en-US" w:eastAsia="zh-CN"/>
              </w:rPr>
            </w:pPr>
            <w:r>
              <w:rPr>
                <w:rFonts w:hint="eastAsia" w:ascii="黑体" w:hAnsi="黑体" w:eastAsia="黑体" w:cs="黑体"/>
                <w:bCs/>
                <w:sz w:val="22"/>
                <w:lang w:val="en-US" w:eastAsia="zh-CN"/>
              </w:rPr>
              <w:t>支持工作时显示有效医嘱，支持按照药品、处置、检验、检查、手术、治疗医嘱类别显示医嘱，区分历史医嘱和新开立医嘱。支持医嘱核对执行回退等操作</w:t>
            </w:r>
            <w:r>
              <w:rPr>
                <w:rFonts w:hint="eastAsia" w:ascii="黑体" w:hAnsi="黑体" w:eastAsia="黑体" w:cs="黑体"/>
                <w:bCs/>
                <w:kern w:val="2"/>
                <w:sz w:val="22"/>
                <w:szCs w:val="22"/>
                <w:lang w:val="en-US" w:eastAsia="zh-CN" w:bidi="ar-SA"/>
              </w:rPr>
              <w:t>;</w:t>
            </w:r>
          </w:p>
          <w:p w14:paraId="6C9F7DC3">
            <w:pPr>
              <w:pStyle w:val="17"/>
              <w:keepNext w:val="0"/>
              <w:keepLines w:val="0"/>
              <w:widowControl/>
              <w:numPr>
                <w:ilvl w:val="0"/>
                <w:numId w:val="4"/>
              </w:numPr>
              <w:suppressLineNumbers w:val="0"/>
              <w:kinsoku w:val="0"/>
              <w:overflowPunct w:val="0"/>
              <w:spacing w:before="0" w:beforeAutospacing="0" w:after="0" w:afterAutospacing="0" w:line="400" w:lineRule="exact"/>
              <w:ind w:right="0" w:rightChars="0"/>
              <w:jc w:val="left"/>
              <w:rPr>
                <w:rFonts w:hint="eastAsia" w:ascii="黑体" w:hAnsi="黑体" w:eastAsia="黑体" w:cs="黑体"/>
                <w:bCs/>
                <w:sz w:val="22"/>
                <w:lang w:val="en-US" w:eastAsia="zh-CN"/>
              </w:rPr>
            </w:pPr>
            <w:r>
              <w:rPr>
                <w:rFonts w:hint="eastAsia" w:ascii="黑体" w:hAnsi="黑体" w:eastAsia="黑体" w:cs="黑体"/>
                <w:bCs/>
                <w:sz w:val="22"/>
                <w:lang w:val="en-US" w:eastAsia="zh-CN"/>
              </w:rPr>
              <w:t>支持显示医嘱的具体名称、剂量、单位、途径、用法等内容；执行后的医嘱可导入到抢救记录单中</w:t>
            </w:r>
            <w:r>
              <w:rPr>
                <w:rFonts w:hint="eastAsia" w:ascii="黑体" w:hAnsi="黑体" w:eastAsia="黑体" w:cs="黑体"/>
                <w:bCs/>
                <w:kern w:val="2"/>
                <w:sz w:val="22"/>
                <w:szCs w:val="22"/>
                <w:lang w:val="en-US" w:eastAsia="zh-CN" w:bidi="ar-SA"/>
              </w:rPr>
              <w:t>;</w:t>
            </w:r>
          </w:p>
          <w:p w14:paraId="55AF2E00">
            <w:pPr>
              <w:pStyle w:val="17"/>
              <w:keepNext w:val="0"/>
              <w:keepLines w:val="0"/>
              <w:widowControl/>
              <w:numPr>
                <w:ilvl w:val="0"/>
                <w:numId w:val="4"/>
              </w:numPr>
              <w:suppressLineNumbers w:val="0"/>
              <w:kinsoku w:val="0"/>
              <w:overflowPunct w:val="0"/>
              <w:spacing w:before="0" w:beforeAutospacing="0" w:after="0" w:afterAutospacing="0" w:line="400" w:lineRule="exact"/>
              <w:ind w:right="0" w:rightChars="0"/>
              <w:jc w:val="left"/>
              <w:rPr>
                <w:rFonts w:hint="eastAsia" w:ascii="黑体" w:hAnsi="黑体" w:eastAsia="黑体" w:cs="黑体"/>
                <w:bCs/>
                <w:sz w:val="22"/>
                <w:lang w:val="en-US" w:eastAsia="zh-CN"/>
              </w:rPr>
            </w:pPr>
            <w:r>
              <w:rPr>
                <w:rFonts w:hint="eastAsia" w:ascii="黑体" w:hAnsi="黑体" w:eastAsia="黑体" w:cs="黑体"/>
                <w:bCs/>
                <w:sz w:val="22"/>
                <w:lang w:val="en-US" w:eastAsia="zh-CN"/>
              </w:rPr>
              <w:t>支持勾选多项医嘱批量核对或者逐条选择医嘱进行核对，同时支持取消核对功能，并记录核对时间与核对人</w:t>
            </w:r>
            <w:r>
              <w:rPr>
                <w:rFonts w:hint="eastAsia" w:ascii="黑体" w:hAnsi="黑体" w:eastAsia="黑体" w:cs="黑体"/>
                <w:bCs/>
                <w:kern w:val="2"/>
                <w:sz w:val="22"/>
                <w:szCs w:val="22"/>
                <w:lang w:val="en-US" w:eastAsia="zh-CN" w:bidi="ar-SA"/>
              </w:rPr>
              <w:t>;</w:t>
            </w:r>
          </w:p>
          <w:p w14:paraId="55133108">
            <w:pPr>
              <w:pStyle w:val="17"/>
              <w:keepNext w:val="0"/>
              <w:keepLines w:val="0"/>
              <w:widowControl/>
              <w:numPr>
                <w:ilvl w:val="0"/>
                <w:numId w:val="4"/>
              </w:numPr>
              <w:suppressLineNumbers w:val="0"/>
              <w:kinsoku w:val="0"/>
              <w:overflowPunct w:val="0"/>
              <w:spacing w:before="0" w:beforeAutospacing="0" w:after="0" w:afterAutospacing="0" w:line="400" w:lineRule="exact"/>
              <w:ind w:right="0" w:rightChars="0"/>
              <w:jc w:val="left"/>
              <w:rPr>
                <w:rFonts w:hint="eastAsia" w:ascii="黑体" w:hAnsi="黑体" w:eastAsia="黑体" w:cs="黑体"/>
                <w:bCs/>
                <w:sz w:val="22"/>
                <w:lang w:val="en-US" w:eastAsia="zh-CN"/>
              </w:rPr>
            </w:pPr>
            <w:r>
              <w:rPr>
                <w:rFonts w:hint="eastAsia" w:ascii="黑体" w:hAnsi="黑体" w:eastAsia="黑体" w:cs="黑体"/>
                <w:bCs/>
                <w:sz w:val="22"/>
                <w:lang w:val="en-US" w:eastAsia="zh-CN"/>
              </w:rPr>
              <w:t>支持勾选多项批量或者逐条执行医嘱，护士支持选择执行内容是否写入护理记录中；医嘱执行完成系统自动更改本条医嘱状态并记录执行信息</w:t>
            </w:r>
            <w:r>
              <w:rPr>
                <w:rFonts w:hint="eastAsia" w:ascii="黑体" w:hAnsi="黑体" w:eastAsia="黑体" w:cs="黑体"/>
                <w:bCs/>
                <w:kern w:val="2"/>
                <w:sz w:val="22"/>
                <w:szCs w:val="22"/>
                <w:lang w:val="en-US" w:eastAsia="zh-CN" w:bidi="ar-SA"/>
              </w:rPr>
              <w:t>;</w:t>
            </w:r>
          </w:p>
          <w:p w14:paraId="771F36F8">
            <w:pPr>
              <w:pStyle w:val="17"/>
              <w:keepNext w:val="0"/>
              <w:keepLines w:val="0"/>
              <w:widowControl/>
              <w:numPr>
                <w:ilvl w:val="0"/>
                <w:numId w:val="4"/>
              </w:numPr>
              <w:suppressLineNumbers w:val="0"/>
              <w:kinsoku w:val="0"/>
              <w:overflowPunct w:val="0"/>
              <w:spacing w:before="0" w:beforeAutospacing="0" w:after="0" w:afterAutospacing="0" w:line="400" w:lineRule="exact"/>
              <w:ind w:right="0" w:rightChars="0"/>
              <w:jc w:val="left"/>
              <w:rPr>
                <w:rFonts w:hint="eastAsia" w:ascii="黑体" w:hAnsi="黑体" w:eastAsia="黑体" w:cs="黑体"/>
                <w:bCs/>
                <w:sz w:val="22"/>
                <w:lang w:val="en-US" w:eastAsia="zh-CN"/>
              </w:rPr>
            </w:pPr>
            <w:r>
              <w:rPr>
                <w:rFonts w:hint="eastAsia" w:ascii="黑体" w:hAnsi="黑体" w:eastAsia="黑体" w:cs="黑体"/>
                <w:bCs/>
                <w:sz w:val="22"/>
                <w:lang w:val="en-US" w:eastAsia="zh-CN"/>
              </w:rPr>
              <w:t>支持医生开立的皮试医嘱，护士可以录入皮试结果（阴性、阳性）并记录皮试时间，针对阳性说明理由</w:t>
            </w:r>
            <w:r>
              <w:rPr>
                <w:rFonts w:hint="eastAsia" w:ascii="黑体" w:hAnsi="黑体" w:eastAsia="黑体" w:cs="黑体"/>
                <w:bCs/>
                <w:kern w:val="2"/>
                <w:sz w:val="22"/>
                <w:szCs w:val="22"/>
                <w:lang w:val="en-US" w:eastAsia="zh-CN" w:bidi="ar-SA"/>
              </w:rPr>
              <w:t>;</w:t>
            </w:r>
          </w:p>
          <w:p w14:paraId="6AD60758">
            <w:pPr>
              <w:pStyle w:val="17"/>
              <w:keepNext w:val="0"/>
              <w:keepLines w:val="0"/>
              <w:widowControl/>
              <w:numPr>
                <w:ilvl w:val="0"/>
                <w:numId w:val="4"/>
              </w:numPr>
              <w:suppressLineNumbers w:val="0"/>
              <w:kinsoku w:val="0"/>
              <w:overflowPunct w:val="0"/>
              <w:spacing w:before="0" w:beforeAutospacing="0" w:after="0" w:afterAutospacing="0" w:line="400" w:lineRule="exact"/>
              <w:ind w:right="0" w:rightChars="0"/>
              <w:jc w:val="left"/>
              <w:rPr>
                <w:rFonts w:hint="eastAsia" w:ascii="黑体" w:hAnsi="黑体" w:eastAsia="黑体" w:cs="黑体"/>
                <w:bCs/>
                <w:sz w:val="22"/>
                <w:lang w:val="en-US" w:eastAsia="zh-CN"/>
              </w:rPr>
            </w:pPr>
            <w:r>
              <w:rPr>
                <w:rFonts w:hint="eastAsia" w:ascii="黑体" w:hAnsi="黑体" w:eastAsia="黑体" w:cs="黑体"/>
                <w:bCs/>
                <w:sz w:val="22"/>
                <w:lang w:val="en-US" w:eastAsia="zh-CN"/>
              </w:rPr>
              <w:t>支持护士在执行医嘱的过程中，针对未执行及已执行的医嘱进行输液贴打印，同时可以补打患者床头卡</w:t>
            </w:r>
            <w:r>
              <w:rPr>
                <w:rFonts w:hint="eastAsia" w:ascii="黑体" w:hAnsi="黑体" w:eastAsia="黑体" w:cs="黑体"/>
                <w:bCs/>
                <w:kern w:val="2"/>
                <w:sz w:val="22"/>
                <w:szCs w:val="22"/>
                <w:lang w:val="en-US" w:eastAsia="zh-CN" w:bidi="ar-SA"/>
              </w:rPr>
              <w:t>;</w:t>
            </w:r>
          </w:p>
          <w:p w14:paraId="033DAF86">
            <w:pPr>
              <w:pStyle w:val="17"/>
              <w:keepNext w:val="0"/>
              <w:keepLines w:val="0"/>
              <w:widowControl/>
              <w:numPr>
                <w:ilvl w:val="0"/>
                <w:numId w:val="4"/>
              </w:numPr>
              <w:suppressLineNumbers w:val="0"/>
              <w:kinsoku w:val="0"/>
              <w:overflowPunct w:val="0"/>
              <w:spacing w:before="0" w:beforeAutospacing="0" w:after="0" w:afterAutospacing="0" w:line="400" w:lineRule="exact"/>
              <w:ind w:right="0" w:rightChars="0"/>
              <w:jc w:val="left"/>
              <w:rPr>
                <w:rFonts w:hint="eastAsia" w:ascii="黑体" w:hAnsi="黑体" w:eastAsia="黑体" w:cs="黑体"/>
                <w:bCs/>
                <w:sz w:val="22"/>
                <w:lang w:val="en-US" w:eastAsia="zh-CN"/>
              </w:rPr>
            </w:pPr>
            <w:r>
              <w:rPr>
                <w:rFonts w:hint="eastAsia" w:ascii="黑体" w:hAnsi="黑体" w:eastAsia="黑体" w:cs="黑体"/>
                <w:bCs/>
                <w:sz w:val="22"/>
                <w:lang w:val="en-US" w:eastAsia="zh-CN"/>
              </w:rPr>
              <w:t>护士的医嘱执行支持PDA记录。提供足够数量的PDA，实现医嘱执行记录等一般pda具有的功能，确保操作简单易行，数据留痕，双方共同解决临床技术问题。供应商应提供自己的pda系统</w:t>
            </w:r>
            <w:r>
              <w:rPr>
                <w:rFonts w:hint="eastAsia" w:ascii="黑体" w:hAnsi="黑体" w:eastAsia="黑体" w:cs="黑体"/>
                <w:bCs/>
                <w:kern w:val="2"/>
                <w:sz w:val="22"/>
                <w:szCs w:val="22"/>
                <w:lang w:val="en-US" w:eastAsia="zh-CN" w:bidi="ar-SA"/>
              </w:rPr>
              <w:t>;</w:t>
            </w:r>
          </w:p>
          <w:p w14:paraId="371D267A">
            <w:pPr>
              <w:pStyle w:val="17"/>
              <w:keepNext w:val="0"/>
              <w:keepLines w:val="0"/>
              <w:widowControl/>
              <w:numPr>
                <w:ilvl w:val="0"/>
                <w:numId w:val="4"/>
              </w:numPr>
              <w:suppressLineNumbers w:val="0"/>
              <w:kinsoku w:val="0"/>
              <w:overflowPunct w:val="0"/>
              <w:spacing w:before="0" w:beforeAutospacing="0" w:after="0" w:afterAutospacing="0" w:line="400" w:lineRule="exact"/>
              <w:ind w:right="0" w:rightChars="0"/>
              <w:jc w:val="left"/>
              <w:rPr>
                <w:rFonts w:hint="eastAsia" w:ascii="黑体" w:hAnsi="黑体" w:eastAsia="黑体" w:cs="黑体"/>
                <w:bCs/>
                <w:sz w:val="22"/>
                <w:lang w:val="en-US" w:eastAsia="zh-CN"/>
              </w:rPr>
            </w:pPr>
            <w:r>
              <w:rPr>
                <w:rFonts w:hint="eastAsia" w:ascii="黑体" w:hAnsi="黑体" w:eastAsia="黑体" w:cs="黑体"/>
                <w:bCs/>
                <w:sz w:val="22"/>
                <w:lang w:val="en-US" w:eastAsia="zh-CN"/>
              </w:rPr>
              <w:t>支持点选快速完成护理记录的功能，支持定时采集患者床旁生命体征数据并进行记录，提供采集生命体征导入到护理记录或者手工录入</w:t>
            </w:r>
            <w:r>
              <w:rPr>
                <w:rFonts w:hint="eastAsia" w:ascii="黑体" w:hAnsi="黑体" w:eastAsia="黑体" w:cs="黑体"/>
                <w:bCs/>
                <w:kern w:val="2"/>
                <w:sz w:val="22"/>
                <w:szCs w:val="22"/>
                <w:lang w:val="en-US" w:eastAsia="zh-CN" w:bidi="ar-SA"/>
              </w:rPr>
              <w:t>;</w:t>
            </w:r>
          </w:p>
          <w:p w14:paraId="21AC40E0">
            <w:pPr>
              <w:pStyle w:val="17"/>
              <w:keepNext w:val="0"/>
              <w:keepLines w:val="0"/>
              <w:widowControl/>
              <w:numPr>
                <w:ilvl w:val="0"/>
                <w:numId w:val="4"/>
              </w:numPr>
              <w:suppressLineNumbers w:val="0"/>
              <w:kinsoku w:val="0"/>
              <w:overflowPunct w:val="0"/>
              <w:spacing w:before="0" w:beforeAutospacing="0" w:after="0" w:afterAutospacing="0" w:line="400" w:lineRule="exact"/>
              <w:ind w:right="0" w:rightChars="0"/>
              <w:jc w:val="left"/>
              <w:rPr>
                <w:rFonts w:hint="eastAsia" w:ascii="黑体" w:hAnsi="黑体" w:eastAsia="黑体" w:cs="黑体"/>
                <w:bCs/>
                <w:sz w:val="22"/>
                <w:lang w:val="en-US" w:eastAsia="zh-CN"/>
              </w:rPr>
            </w:pPr>
            <w:r>
              <w:rPr>
                <w:rFonts w:hint="eastAsia" w:ascii="黑体" w:hAnsi="黑体" w:eastAsia="黑体" w:cs="黑体"/>
                <w:bCs/>
                <w:sz w:val="22"/>
                <w:lang w:val="en-US" w:eastAsia="zh-CN"/>
              </w:rPr>
              <w:t>支持医护人员打印医嘱对应的输液卡和瓶贴、注射单、皮试单等护理单据，支持护理文书所见即所得打印模式和其他各种所需要记录、单据、文书等放大和缩小，翻页、打印预览和归档</w:t>
            </w:r>
            <w:r>
              <w:rPr>
                <w:rFonts w:hint="eastAsia" w:ascii="黑体" w:hAnsi="黑体" w:eastAsia="黑体" w:cs="黑体"/>
                <w:bCs/>
                <w:kern w:val="2"/>
                <w:sz w:val="22"/>
                <w:szCs w:val="22"/>
                <w:lang w:val="en-US" w:eastAsia="zh-CN" w:bidi="ar-SA"/>
              </w:rPr>
              <w:t>;</w:t>
            </w:r>
          </w:p>
          <w:p w14:paraId="7B1ABBFA">
            <w:pPr>
              <w:pStyle w:val="17"/>
              <w:keepNext w:val="0"/>
              <w:keepLines w:val="0"/>
              <w:widowControl/>
              <w:numPr>
                <w:ilvl w:val="0"/>
                <w:numId w:val="4"/>
              </w:numPr>
              <w:suppressLineNumbers w:val="0"/>
              <w:kinsoku w:val="0"/>
              <w:overflowPunct w:val="0"/>
              <w:spacing w:before="0" w:beforeAutospacing="0" w:after="0" w:afterAutospacing="0" w:line="400" w:lineRule="exact"/>
              <w:ind w:right="0" w:rightChars="0"/>
              <w:jc w:val="left"/>
              <w:rPr>
                <w:rFonts w:hint="eastAsia" w:ascii="黑体" w:hAnsi="黑体" w:eastAsia="黑体" w:cs="黑体"/>
                <w:bCs/>
                <w:sz w:val="22"/>
                <w:lang w:val="en-US" w:eastAsia="zh-CN"/>
              </w:rPr>
            </w:pPr>
            <w:r>
              <w:rPr>
                <w:rFonts w:hint="eastAsia" w:ascii="黑体" w:hAnsi="黑体" w:eastAsia="黑体" w:cs="黑体"/>
                <w:bCs/>
                <w:sz w:val="22"/>
                <w:lang w:val="en-US" w:eastAsia="zh-CN"/>
              </w:rPr>
              <w:t>支持护理文书的新增、修改和删除。提供急诊急救所需要的护理文书，包括护理同意书、护理记录单、转运交接单等</w:t>
            </w:r>
            <w:r>
              <w:rPr>
                <w:rFonts w:hint="eastAsia" w:ascii="黑体" w:hAnsi="黑体" w:eastAsia="黑体" w:cs="黑体"/>
                <w:bCs/>
                <w:kern w:val="2"/>
                <w:sz w:val="22"/>
                <w:szCs w:val="22"/>
                <w:lang w:val="en-US" w:eastAsia="zh-CN" w:bidi="ar-SA"/>
              </w:rPr>
              <w:t>;</w:t>
            </w:r>
          </w:p>
          <w:p w14:paraId="56E0361A">
            <w:pPr>
              <w:pStyle w:val="17"/>
              <w:keepNext w:val="0"/>
              <w:keepLines w:val="0"/>
              <w:widowControl/>
              <w:numPr>
                <w:ilvl w:val="0"/>
                <w:numId w:val="4"/>
              </w:numPr>
              <w:suppressLineNumbers w:val="0"/>
              <w:kinsoku w:val="0"/>
              <w:overflowPunct w:val="0"/>
              <w:spacing w:before="0" w:beforeAutospacing="0" w:after="0" w:afterAutospacing="0" w:line="400" w:lineRule="exact"/>
              <w:ind w:right="0" w:rightChars="0"/>
              <w:jc w:val="left"/>
              <w:rPr>
                <w:rFonts w:hint="eastAsia" w:ascii="黑体" w:hAnsi="黑体" w:eastAsia="黑体" w:cs="黑体"/>
                <w:bCs/>
                <w:sz w:val="22"/>
                <w:highlight w:val="none"/>
                <w:lang w:val="en-US" w:eastAsia="zh-CN"/>
              </w:rPr>
            </w:pPr>
            <w:r>
              <w:rPr>
                <w:rFonts w:hint="eastAsia" w:ascii="黑体" w:hAnsi="黑体" w:eastAsia="黑体" w:cs="黑体"/>
                <w:bCs/>
                <w:sz w:val="22"/>
                <w:highlight w:val="none"/>
                <w:lang w:val="en-US" w:eastAsia="zh-CN"/>
              </w:rPr>
              <w:t>支持护理文书导入医嘱、检查检验等信息</w:t>
            </w:r>
            <w:r>
              <w:rPr>
                <w:rFonts w:hint="eastAsia" w:ascii="黑体" w:hAnsi="黑体" w:eastAsia="黑体" w:cs="黑体"/>
                <w:bCs/>
                <w:kern w:val="2"/>
                <w:sz w:val="22"/>
                <w:szCs w:val="22"/>
                <w:lang w:val="en-US" w:eastAsia="zh-CN" w:bidi="ar-SA"/>
              </w:rPr>
              <w:t>;</w:t>
            </w:r>
          </w:p>
          <w:p w14:paraId="1EFDDC95">
            <w:pPr>
              <w:pStyle w:val="17"/>
              <w:keepNext w:val="0"/>
              <w:keepLines w:val="0"/>
              <w:widowControl/>
              <w:numPr>
                <w:ilvl w:val="0"/>
                <w:numId w:val="4"/>
              </w:numPr>
              <w:suppressLineNumbers w:val="0"/>
              <w:kinsoku w:val="0"/>
              <w:overflowPunct w:val="0"/>
              <w:spacing w:before="0" w:beforeAutospacing="0" w:after="0" w:afterAutospacing="0" w:line="400" w:lineRule="exact"/>
              <w:ind w:right="0" w:rightChars="0"/>
              <w:jc w:val="left"/>
              <w:rPr>
                <w:rFonts w:hint="eastAsia" w:ascii="黑体" w:hAnsi="黑体" w:eastAsia="黑体" w:cs="黑体"/>
                <w:bCs/>
                <w:sz w:val="22"/>
                <w:lang w:val="en-US" w:eastAsia="zh-CN"/>
              </w:rPr>
            </w:pPr>
            <w:r>
              <w:rPr>
                <w:rFonts w:hint="eastAsia" w:ascii="黑体" w:hAnsi="黑体" w:eastAsia="黑体" w:cs="黑体"/>
                <w:bCs/>
                <w:sz w:val="22"/>
                <w:lang w:val="en-US" w:eastAsia="zh-CN"/>
              </w:rPr>
              <w:t>系统支持护理文书自定制，依照医院管理规范及用户个性化需求对护理记录单表单格式进行定制化</w:t>
            </w:r>
            <w:r>
              <w:rPr>
                <w:rFonts w:hint="eastAsia" w:ascii="黑体" w:hAnsi="黑体" w:eastAsia="黑体" w:cs="黑体"/>
                <w:bCs/>
                <w:kern w:val="2"/>
                <w:sz w:val="22"/>
                <w:szCs w:val="22"/>
                <w:lang w:val="en-US" w:eastAsia="zh-CN" w:bidi="ar-SA"/>
              </w:rPr>
              <w:t>;</w:t>
            </w:r>
          </w:p>
          <w:p w14:paraId="60F5A0B0">
            <w:pPr>
              <w:pStyle w:val="17"/>
              <w:keepNext w:val="0"/>
              <w:keepLines w:val="0"/>
              <w:widowControl/>
              <w:numPr>
                <w:ilvl w:val="0"/>
                <w:numId w:val="4"/>
              </w:numPr>
              <w:suppressLineNumbers w:val="0"/>
              <w:kinsoku w:val="0"/>
              <w:overflowPunct w:val="0"/>
              <w:spacing w:before="0" w:beforeAutospacing="0" w:after="0" w:afterAutospacing="0" w:line="400" w:lineRule="exact"/>
              <w:ind w:right="0" w:rightChars="0"/>
              <w:jc w:val="left"/>
              <w:rPr>
                <w:rFonts w:hint="eastAsia" w:ascii="黑体" w:hAnsi="黑体" w:eastAsia="黑体" w:cs="黑体"/>
                <w:bCs/>
                <w:sz w:val="22"/>
                <w:lang w:val="en-US" w:eastAsia="zh-CN"/>
              </w:rPr>
            </w:pPr>
            <w:r>
              <w:rPr>
                <w:rFonts w:hint="eastAsia" w:ascii="黑体" w:hAnsi="黑体" w:eastAsia="黑体" w:cs="黑体"/>
                <w:bCs/>
                <w:sz w:val="22"/>
                <w:lang w:val="en-US" w:eastAsia="zh-CN"/>
              </w:rPr>
              <w:t>支持胸痛患者入室评估，创伤患者入室评估，卒中患者入室评估，一般患者入室评估等护理评估</w:t>
            </w:r>
            <w:r>
              <w:rPr>
                <w:rFonts w:hint="eastAsia" w:ascii="黑体" w:hAnsi="黑体" w:eastAsia="黑体" w:cs="黑体"/>
                <w:bCs/>
                <w:kern w:val="2"/>
                <w:sz w:val="22"/>
                <w:szCs w:val="22"/>
                <w:lang w:val="en-US" w:eastAsia="zh-CN" w:bidi="ar-SA"/>
              </w:rPr>
              <w:t>;</w:t>
            </w:r>
          </w:p>
          <w:p w14:paraId="1549A804">
            <w:pPr>
              <w:pStyle w:val="17"/>
              <w:keepNext w:val="0"/>
              <w:keepLines w:val="0"/>
              <w:widowControl/>
              <w:numPr>
                <w:ilvl w:val="0"/>
                <w:numId w:val="4"/>
              </w:numPr>
              <w:suppressLineNumbers w:val="0"/>
              <w:kinsoku w:val="0"/>
              <w:overflowPunct w:val="0"/>
              <w:spacing w:before="0" w:beforeAutospacing="0" w:after="0" w:afterAutospacing="0" w:line="400" w:lineRule="exact"/>
              <w:ind w:right="0" w:rightChars="0"/>
              <w:jc w:val="left"/>
              <w:rPr>
                <w:rFonts w:hint="eastAsia" w:ascii="黑体" w:hAnsi="黑体" w:eastAsia="黑体" w:cs="黑体"/>
                <w:bCs/>
                <w:sz w:val="22"/>
                <w:lang w:val="en-US" w:eastAsia="zh-CN"/>
              </w:rPr>
            </w:pPr>
            <w:r>
              <w:rPr>
                <w:rFonts w:hint="eastAsia" w:ascii="黑体" w:hAnsi="黑体" w:eastAsia="黑体" w:cs="黑体"/>
                <w:bCs/>
                <w:sz w:val="22"/>
                <w:lang w:val="en-US" w:eastAsia="zh-CN"/>
              </w:rPr>
              <w:t>护理文书支持关键语句选择填入的方式，支持动态结构化录入，支持已获取的数据自动代入患者评分，</w:t>
            </w:r>
            <w:r>
              <w:rPr>
                <w:rFonts w:hint="eastAsia" w:ascii="黑体" w:hAnsi="黑体" w:eastAsia="黑体" w:cs="黑体"/>
                <w:color w:val="000000"/>
                <w:kern w:val="0"/>
                <w:sz w:val="22"/>
                <w:lang w:bidi="ar"/>
              </w:rPr>
              <w:t>分值类的评估单支持自动计算结果值</w:t>
            </w:r>
            <w:r>
              <w:rPr>
                <w:rFonts w:hint="eastAsia" w:ascii="黑体" w:hAnsi="黑体" w:eastAsia="黑体" w:cs="黑体"/>
                <w:bCs/>
                <w:sz w:val="22"/>
                <w:lang w:val="en-US" w:eastAsia="zh-CN"/>
              </w:rPr>
              <w:t>，支持医疗单位、罗马字符、数学字符及其它特殊字符</w:t>
            </w:r>
            <w:r>
              <w:rPr>
                <w:rFonts w:hint="eastAsia" w:ascii="黑体" w:hAnsi="黑体" w:eastAsia="黑体" w:cs="黑体"/>
                <w:bCs/>
                <w:kern w:val="2"/>
                <w:sz w:val="22"/>
                <w:szCs w:val="22"/>
                <w:lang w:val="en-US" w:eastAsia="zh-CN" w:bidi="ar-SA"/>
              </w:rPr>
              <w:t>;</w:t>
            </w:r>
          </w:p>
          <w:p w14:paraId="2114C7E9">
            <w:pPr>
              <w:pStyle w:val="17"/>
              <w:keepNext w:val="0"/>
              <w:keepLines w:val="0"/>
              <w:widowControl/>
              <w:numPr>
                <w:ilvl w:val="0"/>
                <w:numId w:val="4"/>
              </w:numPr>
              <w:suppressLineNumbers w:val="0"/>
              <w:kinsoku w:val="0"/>
              <w:overflowPunct w:val="0"/>
              <w:spacing w:before="0" w:beforeAutospacing="0" w:after="0" w:afterAutospacing="0" w:line="400" w:lineRule="exact"/>
              <w:ind w:right="0" w:rightChars="0"/>
              <w:jc w:val="left"/>
              <w:rPr>
                <w:rFonts w:hint="eastAsia" w:ascii="黑体" w:hAnsi="黑体" w:eastAsia="黑体" w:cs="黑体"/>
                <w:bCs/>
                <w:sz w:val="22"/>
                <w:lang w:val="en-US" w:eastAsia="zh-CN"/>
              </w:rPr>
            </w:pPr>
            <w:r>
              <w:rPr>
                <w:rFonts w:hint="eastAsia" w:ascii="黑体" w:hAnsi="黑体" w:eastAsia="黑体" w:cs="黑体"/>
                <w:bCs/>
                <w:sz w:val="22"/>
                <w:lang w:val="en-US" w:eastAsia="zh-CN"/>
              </w:rPr>
              <w:t>支持提供丰富的评分模板，支持APACHEII评分、Barthe指数定量评分、跌倒压疮评分、Braden评分；护士随时对患者进行多次评分并查看评分结果；支持根据勾选内容，自动计算评分结果</w:t>
            </w:r>
            <w:r>
              <w:rPr>
                <w:rFonts w:hint="eastAsia" w:ascii="黑体" w:hAnsi="黑体" w:eastAsia="黑体" w:cs="黑体"/>
                <w:bCs/>
                <w:kern w:val="2"/>
                <w:sz w:val="22"/>
                <w:szCs w:val="22"/>
                <w:lang w:val="en-US" w:eastAsia="zh-CN" w:bidi="ar-SA"/>
              </w:rPr>
              <w:t>;</w:t>
            </w:r>
          </w:p>
          <w:p w14:paraId="0A35A4FD">
            <w:pPr>
              <w:pStyle w:val="17"/>
              <w:keepNext w:val="0"/>
              <w:keepLines w:val="0"/>
              <w:widowControl/>
              <w:numPr>
                <w:ilvl w:val="0"/>
                <w:numId w:val="4"/>
              </w:numPr>
              <w:suppressLineNumbers w:val="0"/>
              <w:kinsoku w:val="0"/>
              <w:overflowPunct w:val="0"/>
              <w:spacing w:before="0" w:beforeAutospacing="0" w:after="0" w:afterAutospacing="0" w:line="400" w:lineRule="exact"/>
              <w:ind w:right="0" w:rightChars="0"/>
              <w:jc w:val="left"/>
              <w:rPr>
                <w:rFonts w:hint="eastAsia" w:ascii="黑体" w:hAnsi="黑体" w:eastAsia="黑体" w:cs="黑体"/>
                <w:bCs/>
                <w:sz w:val="22"/>
                <w:lang w:val="en-US" w:eastAsia="zh-CN"/>
              </w:rPr>
            </w:pPr>
            <w:r>
              <w:rPr>
                <w:rFonts w:hint="eastAsia" w:ascii="黑体" w:hAnsi="黑体" w:eastAsia="黑体" w:cs="黑体"/>
                <w:bCs/>
                <w:sz w:val="22"/>
                <w:lang w:val="en-US" w:eastAsia="zh-CN"/>
              </w:rPr>
              <w:t>支持提供工具辅助护士快速完成病情观察情况信息，支持护士选择医嘱信息写回护理记录，支持护士选择检验结果写回护理记录，支持选择检查结果写回护理记录，支持从护理文书中选择内容写回护理记录</w:t>
            </w:r>
            <w:r>
              <w:rPr>
                <w:rFonts w:hint="eastAsia" w:ascii="黑体" w:hAnsi="黑体" w:eastAsia="黑体" w:cs="黑体"/>
                <w:bCs/>
                <w:kern w:val="2"/>
                <w:sz w:val="22"/>
                <w:szCs w:val="22"/>
                <w:lang w:val="en-US" w:eastAsia="zh-CN" w:bidi="ar-SA"/>
              </w:rPr>
              <w:t>;</w:t>
            </w:r>
          </w:p>
          <w:p w14:paraId="28B372CE">
            <w:pPr>
              <w:pStyle w:val="17"/>
              <w:keepNext w:val="0"/>
              <w:keepLines w:val="0"/>
              <w:widowControl/>
              <w:numPr>
                <w:ilvl w:val="0"/>
                <w:numId w:val="4"/>
              </w:numPr>
              <w:suppressLineNumbers w:val="0"/>
              <w:kinsoku w:val="0"/>
              <w:overflowPunct w:val="0"/>
              <w:spacing w:before="0" w:beforeAutospacing="0" w:after="0" w:afterAutospacing="0" w:line="400" w:lineRule="exact"/>
              <w:ind w:right="0" w:rightChars="0"/>
              <w:jc w:val="left"/>
              <w:rPr>
                <w:rFonts w:hint="eastAsia" w:ascii="黑体" w:hAnsi="黑体" w:eastAsia="黑体" w:cs="黑体"/>
                <w:bCs/>
                <w:sz w:val="22"/>
                <w:lang w:val="en-US" w:eastAsia="zh-CN"/>
              </w:rPr>
            </w:pPr>
            <w:r>
              <w:rPr>
                <w:rFonts w:hint="eastAsia" w:ascii="黑体" w:hAnsi="黑体" w:eastAsia="黑体" w:cs="黑体"/>
                <w:bCs/>
                <w:sz w:val="22"/>
                <w:lang w:val="en-US" w:eastAsia="zh-CN"/>
              </w:rPr>
              <w:t>支持根据患者情况变化，随时维护出入量详细信息，支持自动将输液医嘱及实际入量写回出入量，支持点选弹出页面，护士可以维护入量和出量信息。支持提供入出量名称数据集，护士可以输入快捷键快速查找定位。针对出量不仅能表达名称，而且支持表达颜色性状。支持自动计算出量和入量合计</w:t>
            </w:r>
            <w:r>
              <w:rPr>
                <w:rFonts w:hint="eastAsia" w:ascii="黑体" w:hAnsi="黑体" w:eastAsia="黑体" w:cs="黑体"/>
                <w:bCs/>
                <w:kern w:val="2"/>
                <w:sz w:val="22"/>
                <w:szCs w:val="22"/>
                <w:lang w:val="en-US" w:eastAsia="zh-CN" w:bidi="ar-SA"/>
              </w:rPr>
              <w:t>;</w:t>
            </w:r>
          </w:p>
          <w:p w14:paraId="43C51A1B">
            <w:pPr>
              <w:pStyle w:val="17"/>
              <w:keepNext w:val="0"/>
              <w:keepLines w:val="0"/>
              <w:widowControl/>
              <w:numPr>
                <w:ilvl w:val="0"/>
                <w:numId w:val="4"/>
              </w:numPr>
              <w:suppressLineNumbers w:val="0"/>
              <w:kinsoku w:val="0"/>
              <w:overflowPunct w:val="0"/>
              <w:spacing w:before="0" w:beforeAutospacing="0" w:after="0" w:afterAutospacing="0" w:line="400" w:lineRule="exact"/>
              <w:ind w:right="0" w:rightChars="0"/>
              <w:jc w:val="left"/>
              <w:rPr>
                <w:rFonts w:hint="eastAsia" w:ascii="黑体" w:hAnsi="黑体" w:eastAsia="黑体" w:cs="黑体"/>
                <w:bCs/>
                <w:sz w:val="22"/>
                <w:lang w:val="en-US" w:eastAsia="zh-CN"/>
              </w:rPr>
            </w:pPr>
            <w:r>
              <w:rPr>
                <w:rFonts w:hint="eastAsia" w:ascii="黑体" w:hAnsi="黑体" w:eastAsia="黑体" w:cs="黑体"/>
                <w:bCs/>
                <w:sz w:val="22"/>
                <w:lang w:val="en-US" w:eastAsia="zh-CN"/>
              </w:rPr>
              <w:t>系统支持出入量快速统计功能，支持按照24小时内，患者转入抢救留观后以及自定义时间段方式，自动统计出入量值，并将结果写回护理记录中</w:t>
            </w:r>
            <w:r>
              <w:rPr>
                <w:rFonts w:hint="eastAsia" w:ascii="黑体" w:hAnsi="黑体" w:eastAsia="黑体" w:cs="黑体"/>
                <w:bCs/>
                <w:kern w:val="2"/>
                <w:sz w:val="22"/>
                <w:szCs w:val="22"/>
                <w:lang w:val="en-US" w:eastAsia="zh-CN" w:bidi="ar-SA"/>
              </w:rPr>
              <w:t>;</w:t>
            </w:r>
          </w:p>
          <w:p w14:paraId="06C247A0">
            <w:pPr>
              <w:pStyle w:val="17"/>
              <w:keepNext w:val="0"/>
              <w:keepLines w:val="0"/>
              <w:widowControl/>
              <w:numPr>
                <w:ilvl w:val="0"/>
                <w:numId w:val="4"/>
              </w:numPr>
              <w:suppressLineNumbers w:val="0"/>
              <w:kinsoku w:val="0"/>
              <w:overflowPunct w:val="0"/>
              <w:spacing w:before="0" w:beforeAutospacing="0" w:after="0" w:afterAutospacing="0" w:line="400" w:lineRule="exact"/>
              <w:ind w:right="0" w:rightChars="0"/>
              <w:jc w:val="left"/>
              <w:rPr>
                <w:rFonts w:hint="eastAsia" w:ascii="黑体" w:hAnsi="黑体" w:eastAsia="黑体" w:cs="黑体"/>
                <w:bCs/>
                <w:sz w:val="22"/>
                <w:lang w:val="en-US" w:eastAsia="zh-CN"/>
              </w:rPr>
            </w:pPr>
            <w:r>
              <w:rPr>
                <w:rFonts w:hint="eastAsia" w:ascii="黑体" w:hAnsi="黑体" w:eastAsia="黑体" w:cs="黑体"/>
                <w:bCs/>
                <w:sz w:val="22"/>
                <w:lang w:val="en-US" w:eastAsia="zh-CN"/>
              </w:rPr>
              <w:t>系统支持导管管理、包括各类导管信息的定义维护，支持不同风险导管的风险等级维护，提供颜色标注进行区分</w:t>
            </w:r>
            <w:r>
              <w:rPr>
                <w:rFonts w:hint="eastAsia" w:ascii="黑体" w:hAnsi="黑体" w:eastAsia="黑体" w:cs="黑体"/>
                <w:bCs/>
                <w:kern w:val="2"/>
                <w:sz w:val="22"/>
                <w:szCs w:val="22"/>
                <w:lang w:val="en-US" w:eastAsia="zh-CN" w:bidi="ar-SA"/>
              </w:rPr>
              <w:t>;</w:t>
            </w:r>
          </w:p>
          <w:p w14:paraId="25533CAF">
            <w:pPr>
              <w:pStyle w:val="17"/>
              <w:keepNext w:val="0"/>
              <w:keepLines w:val="0"/>
              <w:widowControl/>
              <w:numPr>
                <w:ilvl w:val="0"/>
                <w:numId w:val="4"/>
              </w:numPr>
              <w:suppressLineNumbers w:val="0"/>
              <w:kinsoku w:val="0"/>
              <w:overflowPunct w:val="0"/>
              <w:spacing w:before="0" w:beforeAutospacing="0" w:after="0" w:afterAutospacing="0" w:line="400" w:lineRule="exact"/>
              <w:ind w:right="0" w:rightChars="0"/>
              <w:jc w:val="left"/>
              <w:rPr>
                <w:rFonts w:hint="eastAsia" w:ascii="黑体" w:hAnsi="黑体" w:eastAsia="黑体" w:cs="黑体"/>
                <w:bCs/>
                <w:sz w:val="22"/>
                <w:lang w:val="en-US" w:eastAsia="zh-CN"/>
              </w:rPr>
            </w:pPr>
            <w:r>
              <w:rPr>
                <w:rFonts w:hint="eastAsia" w:ascii="黑体" w:hAnsi="黑体" w:eastAsia="黑体" w:cs="黑体"/>
                <w:bCs/>
                <w:sz w:val="22"/>
                <w:lang w:val="en-US" w:eastAsia="zh-CN"/>
              </w:rPr>
              <w:t>医护人员可新增、修改、拔除导管，并记录插管时间、拔管时间、导管类型、规格、长度、引流液颜色、性质、流量、穿刺部位、导管周围的皮肤情况信息进行记录</w:t>
            </w:r>
            <w:r>
              <w:rPr>
                <w:rFonts w:hint="eastAsia" w:ascii="黑体" w:hAnsi="黑体" w:eastAsia="黑体" w:cs="黑体"/>
                <w:bCs/>
                <w:kern w:val="2"/>
                <w:sz w:val="22"/>
                <w:szCs w:val="22"/>
                <w:lang w:val="en-US" w:eastAsia="zh-CN" w:bidi="ar-SA"/>
              </w:rPr>
              <w:t>;</w:t>
            </w:r>
          </w:p>
          <w:p w14:paraId="399100E0">
            <w:pPr>
              <w:pStyle w:val="17"/>
              <w:keepNext w:val="0"/>
              <w:keepLines w:val="0"/>
              <w:widowControl/>
              <w:numPr>
                <w:ilvl w:val="0"/>
                <w:numId w:val="4"/>
              </w:numPr>
              <w:suppressLineNumbers w:val="0"/>
              <w:kinsoku w:val="0"/>
              <w:overflowPunct w:val="0"/>
              <w:spacing w:before="0" w:beforeAutospacing="0" w:after="0" w:afterAutospacing="0" w:line="400" w:lineRule="exact"/>
              <w:ind w:right="0" w:rightChars="0"/>
              <w:jc w:val="left"/>
              <w:rPr>
                <w:rFonts w:hint="eastAsia" w:ascii="黑体" w:hAnsi="黑体" w:eastAsia="黑体" w:cs="黑体"/>
                <w:bCs/>
                <w:sz w:val="22"/>
                <w:lang w:val="en-US" w:eastAsia="zh-CN"/>
              </w:rPr>
            </w:pPr>
            <w:r>
              <w:rPr>
                <w:rFonts w:hint="eastAsia" w:ascii="黑体" w:hAnsi="黑体" w:eastAsia="黑体" w:cs="黑体"/>
                <w:bCs/>
                <w:sz w:val="22"/>
                <w:lang w:val="en-US" w:eastAsia="zh-CN"/>
              </w:rPr>
              <w:t>系统支持患者导管插管记录查询。</w:t>
            </w:r>
          </w:p>
          <w:p w14:paraId="59FE7FE2">
            <w:pPr>
              <w:pStyle w:val="17"/>
              <w:keepNext w:val="0"/>
              <w:keepLines w:val="0"/>
              <w:widowControl/>
              <w:numPr>
                <w:ilvl w:val="0"/>
                <w:numId w:val="4"/>
              </w:numPr>
              <w:suppressLineNumbers w:val="0"/>
              <w:kinsoku w:val="0"/>
              <w:overflowPunct w:val="0"/>
              <w:spacing w:before="0" w:beforeAutospacing="0" w:after="0" w:afterAutospacing="0" w:line="400" w:lineRule="exact"/>
              <w:ind w:right="0" w:rightChars="0"/>
              <w:jc w:val="left"/>
              <w:rPr>
                <w:rFonts w:hint="eastAsia" w:ascii="黑体" w:hAnsi="黑体" w:eastAsia="黑体" w:cs="黑体"/>
                <w:lang w:val="en-US" w:eastAsia="zh-CN"/>
              </w:rPr>
            </w:pPr>
            <w:r>
              <w:rPr>
                <w:rFonts w:hint="eastAsia" w:ascii="黑体" w:hAnsi="黑体" w:eastAsia="黑体" w:cs="黑体"/>
                <w:bCs/>
                <w:sz w:val="22"/>
                <w:lang w:val="en-US" w:eastAsia="zh-CN"/>
              </w:rPr>
              <w:t>系统支持设备数据采集，支持自动采集数据进行人工修正和数据后补，支持数据修正权限控制。数据可自动录入护理文书，无需护士再次抄写</w:t>
            </w:r>
            <w:r>
              <w:rPr>
                <w:rFonts w:hint="eastAsia" w:ascii="黑体" w:hAnsi="黑体" w:eastAsia="黑体" w:cs="黑体"/>
                <w:bCs/>
                <w:kern w:val="2"/>
                <w:sz w:val="22"/>
                <w:szCs w:val="22"/>
                <w:lang w:val="en-US" w:eastAsia="zh-CN" w:bidi="ar-SA"/>
              </w:rPr>
              <w:t>;</w:t>
            </w:r>
          </w:p>
          <w:p w14:paraId="5911AD7B">
            <w:pPr>
              <w:pStyle w:val="17"/>
              <w:keepNext w:val="0"/>
              <w:keepLines w:val="0"/>
              <w:widowControl/>
              <w:numPr>
                <w:ilvl w:val="0"/>
                <w:numId w:val="4"/>
              </w:numPr>
              <w:suppressLineNumbers w:val="0"/>
              <w:kinsoku w:val="0"/>
              <w:overflowPunct w:val="0"/>
              <w:spacing w:before="0" w:beforeAutospacing="0" w:after="0" w:afterAutospacing="0" w:line="400" w:lineRule="exact"/>
              <w:ind w:right="0" w:rightChars="0"/>
              <w:jc w:val="left"/>
              <w:rPr>
                <w:rFonts w:hint="eastAsia" w:ascii="仿宋" w:hAnsi="仿宋" w:eastAsia="仿宋" w:cstheme="minorBidi"/>
                <w:bCs/>
                <w:kern w:val="2"/>
                <w:sz w:val="21"/>
                <w:szCs w:val="21"/>
                <w:lang w:val="en-US" w:eastAsia="zh-CN" w:bidi="ar-SA"/>
              </w:rPr>
            </w:pPr>
            <w:r>
              <w:rPr>
                <w:rFonts w:hint="eastAsia" w:ascii="黑体" w:hAnsi="黑体" w:eastAsia="黑体" w:cs="黑体"/>
                <w:bCs/>
                <w:sz w:val="22"/>
                <w:highlight w:val="none"/>
                <w:lang w:val="en-US" w:eastAsia="zh-CN"/>
              </w:rPr>
              <w:t>支持嵌入患者360视图，并向集成平台提供所需要的信息。</w:t>
            </w:r>
          </w:p>
        </w:tc>
        <w:tc>
          <w:tcPr>
            <w:tcW w:w="785" w:type="dxa"/>
            <w:tcBorders>
              <w:top w:val="single" w:color="auto" w:sz="4" w:space="0"/>
              <w:left w:val="single" w:color="auto" w:sz="4" w:space="0"/>
              <w:bottom w:val="single" w:color="auto" w:sz="4" w:space="0"/>
              <w:right w:val="single" w:color="auto" w:sz="4" w:space="0"/>
            </w:tcBorders>
            <w:noWrap w:val="0"/>
            <w:vAlign w:val="top"/>
          </w:tcPr>
          <w:p w14:paraId="6E62C177">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3FBCA5D4">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5378E2F5">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2AE927F3">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62046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5" w:hRule="atLeast"/>
          <w:jc w:val="center"/>
        </w:trPr>
        <w:tc>
          <w:tcPr>
            <w:tcW w:w="684" w:type="dxa"/>
            <w:tcBorders>
              <w:top w:val="single" w:color="auto" w:sz="4" w:space="0"/>
              <w:left w:val="single" w:color="auto" w:sz="4" w:space="0"/>
              <w:bottom w:val="single" w:color="auto" w:sz="4" w:space="0"/>
              <w:right w:val="single" w:color="auto" w:sz="4" w:space="0"/>
            </w:tcBorders>
            <w:noWrap w:val="0"/>
            <w:vAlign w:val="center"/>
          </w:tcPr>
          <w:p w14:paraId="6000CE0A">
            <w:pPr>
              <w:pStyle w:val="17"/>
              <w:widowControl/>
              <w:kinsoku w:val="0"/>
              <w:overflowPunct w:val="0"/>
              <w:spacing w:line="400" w:lineRule="exact"/>
              <w:rPr>
                <w:rFonts w:hint="default"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5</w:t>
            </w:r>
          </w:p>
        </w:tc>
        <w:tc>
          <w:tcPr>
            <w:tcW w:w="1179" w:type="dxa"/>
            <w:tcBorders>
              <w:top w:val="single" w:color="auto" w:sz="4" w:space="0"/>
              <w:left w:val="single" w:color="auto" w:sz="4" w:space="0"/>
              <w:bottom w:val="single" w:color="auto" w:sz="4" w:space="0"/>
              <w:right w:val="single" w:color="auto" w:sz="4" w:space="0"/>
            </w:tcBorders>
            <w:noWrap w:val="0"/>
            <w:vAlign w:val="center"/>
          </w:tcPr>
          <w:p w14:paraId="6447ED16">
            <w:pPr>
              <w:pStyle w:val="17"/>
              <w:keepNext w:val="0"/>
              <w:keepLines w:val="0"/>
              <w:widowControl/>
              <w:suppressLineNumbers w:val="0"/>
              <w:kinsoku w:val="0"/>
              <w:overflowPunct w:val="0"/>
              <w:spacing w:before="0" w:beforeAutospacing="0" w:after="0" w:afterAutospacing="0" w:line="400" w:lineRule="exact"/>
              <w:ind w:right="0" w:rightChars="0"/>
              <w:jc w:val="center"/>
              <w:rPr>
                <w:rFonts w:hint="eastAsia" w:ascii="仿宋" w:hAnsi="仿宋" w:eastAsia="仿宋" w:cstheme="minorBidi"/>
                <w:bCs/>
                <w:kern w:val="2"/>
                <w:sz w:val="21"/>
                <w:szCs w:val="21"/>
                <w:lang w:val="en-US" w:eastAsia="zh-CN" w:bidi="ar-SA"/>
              </w:rPr>
            </w:pPr>
            <w:r>
              <w:rPr>
                <w:rFonts w:hint="eastAsia" w:ascii="黑体" w:hAnsi="黑体" w:eastAsia="黑体" w:cs="黑体"/>
              </w:rPr>
              <w:t>交接班管理</w:t>
            </w:r>
          </w:p>
        </w:tc>
        <w:tc>
          <w:tcPr>
            <w:tcW w:w="4278" w:type="dxa"/>
            <w:tcBorders>
              <w:top w:val="single" w:color="auto" w:sz="4" w:space="0"/>
              <w:left w:val="single" w:color="auto" w:sz="4" w:space="0"/>
              <w:bottom w:val="single" w:color="auto" w:sz="4" w:space="0"/>
              <w:right w:val="single" w:color="auto" w:sz="4" w:space="0"/>
            </w:tcBorders>
            <w:noWrap w:val="0"/>
            <w:vAlign w:val="top"/>
          </w:tcPr>
          <w:p w14:paraId="40896721">
            <w:pPr>
              <w:keepNext w:val="0"/>
              <w:keepLines w:val="0"/>
              <w:widowControl/>
              <w:numPr>
                <w:ilvl w:val="0"/>
                <w:numId w:val="5"/>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系统提供 SBAR 模式交接班，包含：现状、背景、评估和建议;</w:t>
            </w:r>
          </w:p>
          <w:p w14:paraId="65D85DC9">
            <w:pPr>
              <w:keepNext w:val="0"/>
              <w:keepLines w:val="0"/>
              <w:widowControl/>
              <w:numPr>
                <w:ilvl w:val="0"/>
                <w:numId w:val="5"/>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系统支持实现护理交班记录的电子化管理。实现留观患者与接收科室的病情电子化交接;</w:t>
            </w:r>
          </w:p>
          <w:p w14:paraId="54EE630D">
            <w:pPr>
              <w:keepNext w:val="0"/>
              <w:keepLines w:val="0"/>
              <w:widowControl/>
              <w:numPr>
                <w:ilvl w:val="0"/>
                <w:numId w:val="5"/>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highlight w:val="none"/>
                <w:lang w:val="en-US" w:eastAsia="zh-CN" w:bidi="ar-SA"/>
              </w:rPr>
              <w:t>支持批量患者和单个患者的交接班方式。</w:t>
            </w:r>
            <w:r>
              <w:rPr>
                <w:rFonts w:hint="eastAsia" w:ascii="黑体" w:hAnsi="黑体" w:eastAsia="黑体" w:cs="黑体"/>
                <w:bCs/>
                <w:kern w:val="2"/>
                <w:sz w:val="22"/>
                <w:szCs w:val="22"/>
                <w:lang w:val="en-US" w:eastAsia="zh-CN" w:bidi="ar-SA"/>
              </w:rPr>
              <w:t>支持按照患者单独交接班或批量选择患者进行整体交接班记录书写;</w:t>
            </w:r>
          </w:p>
          <w:p w14:paraId="7DDA21F6">
            <w:pPr>
              <w:keepNext w:val="0"/>
              <w:keepLines w:val="0"/>
              <w:widowControl/>
              <w:numPr>
                <w:ilvl w:val="0"/>
                <w:numId w:val="5"/>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支持按照区域、班次、责任人、绿色通道病人、死亡病人、出室病人等进行筛选和查找病人完成交班;</w:t>
            </w:r>
          </w:p>
          <w:p w14:paraId="6F67ACE3">
            <w:pPr>
              <w:keepNext w:val="0"/>
              <w:keepLines w:val="0"/>
              <w:widowControl/>
              <w:numPr>
                <w:ilvl w:val="0"/>
                <w:numId w:val="5"/>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系统支持交班时重点患者特殊标标记，记如患者入观24h、72h等，方便医护人员识别和重点关注;</w:t>
            </w:r>
          </w:p>
          <w:p w14:paraId="56523628">
            <w:pPr>
              <w:keepNext w:val="0"/>
              <w:keepLines w:val="0"/>
              <w:widowControl/>
              <w:numPr>
                <w:ilvl w:val="0"/>
                <w:numId w:val="5"/>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系统支持班次和时间周期自定义，方便医院根据实际工作时长进行快速配置交接班班次;</w:t>
            </w:r>
          </w:p>
          <w:p w14:paraId="2BDAE4E1">
            <w:pPr>
              <w:keepNext w:val="0"/>
              <w:keepLines w:val="0"/>
              <w:widowControl/>
              <w:numPr>
                <w:ilvl w:val="0"/>
                <w:numId w:val="5"/>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系统支持现状内容自动交接，如：床号、姓名、年龄、性别、住院号、入院时间、当前诊断、护理级别等，实现科室和本院信息系统联动与数据自动带入，提高医护交接班的工作效率;</w:t>
            </w:r>
          </w:p>
          <w:p w14:paraId="47EBCB22">
            <w:pPr>
              <w:keepNext w:val="0"/>
              <w:keepLines w:val="0"/>
              <w:widowControl/>
              <w:numPr>
                <w:ilvl w:val="0"/>
                <w:numId w:val="5"/>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系统支持背景内容自动交接，如：主诉、过敏史、治疗情况等，可实现科室和本院信息系统联动与数据自动带入，提高医护交接班的工作效率;</w:t>
            </w:r>
          </w:p>
          <w:p w14:paraId="5697A104">
            <w:pPr>
              <w:keepNext w:val="0"/>
              <w:keepLines w:val="0"/>
              <w:widowControl/>
              <w:numPr>
                <w:ilvl w:val="0"/>
                <w:numId w:val="5"/>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系统支持评估内容自动交接，如：监护仪生命体征、导管信息、评分信息等，实现与科室和本院信息系统联动与数据自动带入，提高医护交接班的工作效率;</w:t>
            </w:r>
          </w:p>
          <w:p w14:paraId="165CBC39">
            <w:pPr>
              <w:keepNext w:val="0"/>
              <w:keepLines w:val="0"/>
              <w:widowControl/>
              <w:numPr>
                <w:ilvl w:val="0"/>
                <w:numId w:val="5"/>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系统支持交接时添加建议内容，可引用个人/公共的建议模板，快速使用模板填充交班内容，以完成快速书写。模板可自行添加维护;</w:t>
            </w:r>
          </w:p>
          <w:p w14:paraId="1E3E9A91">
            <w:pPr>
              <w:keepNext w:val="0"/>
              <w:keepLines w:val="0"/>
              <w:widowControl/>
              <w:numPr>
                <w:ilvl w:val="0"/>
                <w:numId w:val="5"/>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系统支持手工填写交接班报告单内容;</w:t>
            </w:r>
          </w:p>
          <w:p w14:paraId="44B711B4">
            <w:pPr>
              <w:keepNext w:val="0"/>
              <w:keepLines w:val="0"/>
              <w:widowControl/>
              <w:numPr>
                <w:ilvl w:val="0"/>
                <w:numId w:val="5"/>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系统提供交接班知识库，可维护常用护理交接班术语，方便快速引用，知识库内容由供应商提供;</w:t>
            </w:r>
          </w:p>
          <w:p w14:paraId="63D44429">
            <w:pPr>
              <w:keepNext w:val="0"/>
              <w:keepLines w:val="0"/>
              <w:widowControl/>
              <w:numPr>
                <w:ilvl w:val="0"/>
                <w:numId w:val="5"/>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系统支持与 LIS、PACS 和心电图系统对接，获取其检查、检验内容，方便医护人员交接班时引用;</w:t>
            </w:r>
          </w:p>
          <w:p w14:paraId="6B373B89">
            <w:pPr>
              <w:keepNext w:val="0"/>
              <w:keepLines w:val="0"/>
              <w:widowControl/>
              <w:numPr>
                <w:ilvl w:val="0"/>
                <w:numId w:val="5"/>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系统支持引用患者医嘱信息、护理记录信息、出入量信息、导管信息、观察项等信息;</w:t>
            </w:r>
          </w:p>
          <w:p w14:paraId="1836AC75">
            <w:pPr>
              <w:keepNext w:val="0"/>
              <w:keepLines w:val="0"/>
              <w:widowControl/>
              <w:numPr>
                <w:ilvl w:val="0"/>
                <w:numId w:val="5"/>
              </w:numPr>
              <w:suppressLineNumbers w:val="0"/>
              <w:spacing w:before="0" w:beforeAutospacing="0" w:after="0" w:afterAutospacing="0"/>
              <w:ind w:left="0" w:right="0"/>
              <w:jc w:val="left"/>
              <w:textAlignment w:val="center"/>
              <w:rPr>
                <w:rFonts w:hint="eastAsia" w:ascii="黑体" w:hAnsi="黑体" w:eastAsia="黑体" w:cs="黑体"/>
                <w:lang w:val="en-US" w:eastAsia="zh-CN"/>
              </w:rPr>
            </w:pPr>
            <w:r>
              <w:rPr>
                <w:rFonts w:hint="eastAsia" w:ascii="黑体" w:hAnsi="黑体" w:eastAsia="黑体" w:cs="黑体"/>
                <w:bCs/>
                <w:kern w:val="2"/>
                <w:sz w:val="22"/>
                <w:szCs w:val="22"/>
                <w:lang w:val="en-US" w:eastAsia="zh-CN" w:bidi="ar-SA"/>
              </w:rPr>
              <w:t>系统支持交接班的报表统计，可按照病人区域、病情级别、死亡人数来进行筛选统计;</w:t>
            </w:r>
          </w:p>
          <w:p w14:paraId="2816BF6E">
            <w:pPr>
              <w:keepNext w:val="0"/>
              <w:keepLines w:val="0"/>
              <w:widowControl/>
              <w:numPr>
                <w:ilvl w:val="0"/>
                <w:numId w:val="5"/>
              </w:numPr>
              <w:suppressLineNumbers w:val="0"/>
              <w:spacing w:before="0" w:beforeAutospacing="0" w:after="0" w:afterAutospacing="0"/>
              <w:ind w:left="0" w:right="0"/>
              <w:jc w:val="left"/>
              <w:textAlignment w:val="center"/>
              <w:rPr>
                <w:rFonts w:hint="eastAsia" w:ascii="黑体" w:hAnsi="黑体" w:eastAsia="黑体" w:cs="黑体"/>
                <w:lang w:val="en-US" w:eastAsia="zh-CN"/>
              </w:rPr>
            </w:pPr>
            <w:r>
              <w:rPr>
                <w:rFonts w:hint="eastAsia" w:ascii="黑体" w:hAnsi="黑体" w:eastAsia="黑体" w:cs="黑体"/>
                <w:bCs/>
                <w:kern w:val="2"/>
                <w:sz w:val="22"/>
                <w:szCs w:val="22"/>
                <w:lang w:val="en-US" w:eastAsia="zh-CN" w:bidi="ar-SA"/>
              </w:rPr>
              <w:t>系统支持统计病人总数、收治人数、危重人数、入抢、出抢、再抢、入留观、出留观、在留观人数自动统计，支持患者诊断、去向信息自动抓取;</w:t>
            </w:r>
          </w:p>
          <w:p w14:paraId="508AD70B">
            <w:pPr>
              <w:keepNext w:val="0"/>
              <w:keepLines w:val="0"/>
              <w:widowControl/>
              <w:numPr>
                <w:ilvl w:val="0"/>
                <w:numId w:val="5"/>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支持查看历史交班统计数据;</w:t>
            </w:r>
          </w:p>
          <w:p w14:paraId="698031CA">
            <w:pPr>
              <w:keepNext w:val="0"/>
              <w:keepLines w:val="0"/>
              <w:widowControl/>
              <w:numPr>
                <w:ilvl w:val="0"/>
                <w:numId w:val="5"/>
              </w:numPr>
              <w:suppressLineNumbers w:val="0"/>
              <w:spacing w:before="0" w:beforeAutospacing="0" w:after="0" w:afterAutospacing="0"/>
              <w:ind w:left="0" w:leftChars="0" w:right="0" w:rightChars="0"/>
              <w:jc w:val="left"/>
              <w:textAlignment w:val="center"/>
              <w:rPr>
                <w:rFonts w:hint="eastAsia" w:ascii="仿宋" w:hAnsi="仿宋" w:eastAsia="仿宋" w:cstheme="minorBidi"/>
                <w:bCs/>
                <w:kern w:val="2"/>
                <w:sz w:val="21"/>
                <w:szCs w:val="21"/>
                <w:lang w:val="en-US" w:eastAsia="zh-CN" w:bidi="ar-SA"/>
              </w:rPr>
            </w:pPr>
            <w:r>
              <w:rPr>
                <w:rFonts w:hint="eastAsia" w:ascii="黑体" w:hAnsi="黑体" w:eastAsia="黑体" w:cs="黑体"/>
                <w:bCs/>
                <w:kern w:val="2"/>
                <w:sz w:val="22"/>
                <w:szCs w:val="22"/>
                <w:lang w:val="en-US" w:eastAsia="zh-CN" w:bidi="ar-SA"/>
              </w:rPr>
              <w:t>支持预览生成的交接班报告单。支持打印和电子保存。</w:t>
            </w:r>
          </w:p>
        </w:tc>
        <w:tc>
          <w:tcPr>
            <w:tcW w:w="785" w:type="dxa"/>
            <w:tcBorders>
              <w:top w:val="single" w:color="auto" w:sz="4" w:space="0"/>
              <w:left w:val="single" w:color="auto" w:sz="4" w:space="0"/>
              <w:bottom w:val="single" w:color="auto" w:sz="4" w:space="0"/>
              <w:right w:val="single" w:color="auto" w:sz="4" w:space="0"/>
            </w:tcBorders>
            <w:noWrap w:val="0"/>
            <w:vAlign w:val="top"/>
          </w:tcPr>
          <w:p w14:paraId="5F2FCEC7">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5BCF0EA8">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33527AC4">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04400ED9">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123CB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5" w:hRule="atLeast"/>
          <w:jc w:val="center"/>
        </w:trPr>
        <w:tc>
          <w:tcPr>
            <w:tcW w:w="684" w:type="dxa"/>
            <w:tcBorders>
              <w:top w:val="single" w:color="auto" w:sz="4" w:space="0"/>
              <w:left w:val="single" w:color="auto" w:sz="4" w:space="0"/>
              <w:bottom w:val="single" w:color="auto" w:sz="4" w:space="0"/>
              <w:right w:val="single" w:color="auto" w:sz="4" w:space="0"/>
            </w:tcBorders>
            <w:noWrap w:val="0"/>
            <w:vAlign w:val="center"/>
          </w:tcPr>
          <w:p w14:paraId="7338B77B">
            <w:pPr>
              <w:pStyle w:val="17"/>
              <w:widowControl/>
              <w:kinsoku w:val="0"/>
              <w:overflowPunct w:val="0"/>
              <w:spacing w:line="400" w:lineRule="exact"/>
              <w:rPr>
                <w:rFonts w:hint="default"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6</w:t>
            </w:r>
          </w:p>
        </w:tc>
        <w:tc>
          <w:tcPr>
            <w:tcW w:w="1179" w:type="dxa"/>
            <w:tcBorders>
              <w:top w:val="single" w:color="auto" w:sz="4" w:space="0"/>
              <w:left w:val="single" w:color="auto" w:sz="4" w:space="0"/>
              <w:bottom w:val="single" w:color="auto" w:sz="4" w:space="0"/>
              <w:right w:val="single" w:color="auto" w:sz="4" w:space="0"/>
            </w:tcBorders>
            <w:noWrap w:val="0"/>
            <w:vAlign w:val="center"/>
          </w:tcPr>
          <w:p w14:paraId="77E929F7">
            <w:pPr>
              <w:pStyle w:val="17"/>
              <w:keepNext w:val="0"/>
              <w:keepLines w:val="0"/>
              <w:widowControl/>
              <w:suppressLineNumbers w:val="0"/>
              <w:kinsoku w:val="0"/>
              <w:overflowPunct w:val="0"/>
              <w:spacing w:before="0" w:beforeAutospacing="0" w:after="0" w:afterAutospacing="0" w:line="400" w:lineRule="exact"/>
              <w:ind w:right="0" w:rightChars="0"/>
              <w:jc w:val="both"/>
              <w:rPr>
                <w:rFonts w:hint="eastAsia" w:ascii="仿宋" w:hAnsi="仿宋" w:eastAsia="仿宋" w:cstheme="minorBidi"/>
                <w:bCs/>
                <w:kern w:val="2"/>
                <w:sz w:val="21"/>
                <w:szCs w:val="21"/>
                <w:lang w:val="en-US" w:eastAsia="zh-CN" w:bidi="ar-SA"/>
              </w:rPr>
            </w:pPr>
            <w:r>
              <w:rPr>
                <w:rFonts w:hint="eastAsia" w:ascii="黑体" w:hAnsi="黑体" w:eastAsia="黑体" w:cs="黑体"/>
                <w:color w:val="000000"/>
                <w:kern w:val="0"/>
                <w:sz w:val="22"/>
                <w:szCs w:val="22"/>
                <w:highlight w:val="none"/>
                <w:lang w:bidi="ar"/>
              </w:rPr>
              <w:t>临床设备数据采集</w:t>
            </w:r>
          </w:p>
        </w:tc>
        <w:tc>
          <w:tcPr>
            <w:tcW w:w="4278" w:type="dxa"/>
            <w:tcBorders>
              <w:top w:val="single" w:color="auto" w:sz="4" w:space="0"/>
              <w:left w:val="single" w:color="auto" w:sz="4" w:space="0"/>
              <w:bottom w:val="single" w:color="auto" w:sz="4" w:space="0"/>
              <w:right w:val="single" w:color="auto" w:sz="4" w:space="0"/>
            </w:tcBorders>
            <w:noWrap w:val="0"/>
            <w:vAlign w:val="top"/>
          </w:tcPr>
          <w:p w14:paraId="06033EAA">
            <w:pPr>
              <w:keepNext w:val="0"/>
              <w:keepLines w:val="0"/>
              <w:widowControl/>
              <w:numPr>
                <w:ilvl w:val="0"/>
                <w:numId w:val="6"/>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highlight w:val="none"/>
                <w:lang w:val="en-US" w:eastAsia="zh-CN" w:bidi="ar-SA"/>
              </w:rPr>
            </w:pPr>
            <w:r>
              <w:rPr>
                <w:rFonts w:hint="eastAsia" w:ascii="黑体" w:hAnsi="黑体" w:eastAsia="黑体" w:cs="黑体"/>
                <w:bCs/>
                <w:kern w:val="2"/>
                <w:sz w:val="22"/>
                <w:szCs w:val="22"/>
                <w:highlight w:val="none"/>
                <w:lang w:val="en-US" w:eastAsia="zh-CN" w:bidi="ar-SA"/>
              </w:rPr>
              <w:t>设备绑定：床旁设备绑定与解绑功能，本系统可将设备自动采集的数据与患者绑定，实现监测数据的自动采集和集成</w:t>
            </w:r>
            <w:r>
              <w:rPr>
                <w:rFonts w:hint="eastAsia" w:ascii="黑体" w:hAnsi="黑体" w:eastAsia="黑体" w:cs="黑体"/>
                <w:bCs/>
                <w:kern w:val="2"/>
                <w:sz w:val="22"/>
                <w:szCs w:val="22"/>
                <w:lang w:val="en-US" w:eastAsia="zh-CN" w:bidi="ar-SA"/>
              </w:rPr>
              <w:t>;</w:t>
            </w:r>
          </w:p>
          <w:p w14:paraId="13C0A0D0">
            <w:pPr>
              <w:keepNext w:val="0"/>
              <w:keepLines w:val="0"/>
              <w:widowControl/>
              <w:numPr>
                <w:ilvl w:val="0"/>
                <w:numId w:val="6"/>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highlight w:val="none"/>
                <w:lang w:val="en-US" w:eastAsia="zh-CN" w:bidi="ar-SA"/>
              </w:rPr>
            </w:pPr>
            <w:r>
              <w:rPr>
                <w:rFonts w:hint="eastAsia" w:ascii="黑体" w:hAnsi="黑体" w:eastAsia="黑体" w:cs="黑体"/>
                <w:bCs/>
                <w:kern w:val="2"/>
                <w:sz w:val="22"/>
                <w:szCs w:val="22"/>
                <w:highlight w:val="none"/>
                <w:lang w:val="en-US" w:eastAsia="zh-CN" w:bidi="ar-SA"/>
              </w:rPr>
              <w:t>设备采集：系统自动采集监护仪等医疗设备数据并以曲线图的方式显示在工作台上</w:t>
            </w:r>
            <w:r>
              <w:rPr>
                <w:rFonts w:hint="eastAsia" w:ascii="黑体" w:hAnsi="黑体" w:eastAsia="黑体" w:cs="黑体"/>
                <w:bCs/>
                <w:kern w:val="2"/>
                <w:sz w:val="22"/>
                <w:szCs w:val="22"/>
                <w:lang w:val="en-US" w:eastAsia="zh-CN" w:bidi="ar-SA"/>
              </w:rPr>
              <w:t>;</w:t>
            </w:r>
          </w:p>
          <w:p w14:paraId="69E30E9A">
            <w:pPr>
              <w:keepNext w:val="0"/>
              <w:keepLines w:val="0"/>
              <w:widowControl/>
              <w:numPr>
                <w:ilvl w:val="0"/>
                <w:numId w:val="6"/>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highlight w:val="none"/>
                <w:lang w:val="en-US" w:eastAsia="zh-CN" w:bidi="ar-SA"/>
              </w:rPr>
            </w:pPr>
            <w:r>
              <w:rPr>
                <w:rFonts w:hint="eastAsia" w:ascii="黑体" w:hAnsi="黑体" w:eastAsia="黑体" w:cs="黑体"/>
                <w:bCs/>
                <w:kern w:val="2"/>
                <w:sz w:val="22"/>
                <w:szCs w:val="22"/>
                <w:highlight w:val="none"/>
                <w:lang w:val="en-US" w:eastAsia="zh-CN" w:bidi="ar-SA"/>
              </w:rPr>
              <w:t>生命体征监测：血压、体温、呼吸、脉搏、血氧、心率等</w:t>
            </w:r>
            <w:r>
              <w:rPr>
                <w:rFonts w:hint="eastAsia" w:ascii="黑体" w:hAnsi="黑体" w:eastAsia="黑体" w:cs="黑体"/>
                <w:bCs/>
                <w:kern w:val="2"/>
                <w:sz w:val="22"/>
                <w:szCs w:val="22"/>
                <w:lang w:val="en-US" w:eastAsia="zh-CN" w:bidi="ar-SA"/>
              </w:rPr>
              <w:t>;</w:t>
            </w:r>
          </w:p>
          <w:p w14:paraId="0A0ED7B4">
            <w:pPr>
              <w:keepNext w:val="0"/>
              <w:keepLines w:val="0"/>
              <w:widowControl/>
              <w:numPr>
                <w:ilvl w:val="0"/>
                <w:numId w:val="6"/>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highlight w:val="none"/>
                <w:lang w:val="en-US" w:eastAsia="zh-CN" w:bidi="ar-SA"/>
              </w:rPr>
            </w:pPr>
            <w:r>
              <w:rPr>
                <w:rFonts w:hint="eastAsia" w:ascii="黑体" w:hAnsi="黑体" w:eastAsia="黑体" w:cs="黑体"/>
                <w:bCs/>
                <w:kern w:val="2"/>
                <w:sz w:val="22"/>
                <w:szCs w:val="22"/>
                <w:highlight w:val="none"/>
                <w:lang w:val="en-US" w:eastAsia="zh-CN" w:bidi="ar-SA"/>
              </w:rPr>
              <w:t>体征报警：出现异常数据，可提供报警警示</w:t>
            </w:r>
            <w:r>
              <w:rPr>
                <w:rFonts w:hint="eastAsia" w:ascii="黑体" w:hAnsi="黑体" w:eastAsia="黑体" w:cs="黑体"/>
                <w:bCs/>
                <w:kern w:val="2"/>
                <w:sz w:val="22"/>
                <w:szCs w:val="22"/>
                <w:lang w:val="en-US" w:eastAsia="zh-CN" w:bidi="ar-SA"/>
              </w:rPr>
              <w:t>;</w:t>
            </w:r>
          </w:p>
          <w:p w14:paraId="7163F7BE">
            <w:pPr>
              <w:keepNext w:val="0"/>
              <w:keepLines w:val="0"/>
              <w:widowControl/>
              <w:numPr>
                <w:ilvl w:val="0"/>
                <w:numId w:val="6"/>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highlight w:val="none"/>
                <w:lang w:val="en-US" w:eastAsia="zh-CN" w:bidi="ar-SA"/>
              </w:rPr>
            </w:pPr>
            <w:r>
              <w:rPr>
                <w:rFonts w:hint="eastAsia" w:ascii="黑体" w:hAnsi="黑体" w:eastAsia="黑体" w:cs="黑体"/>
                <w:bCs/>
                <w:kern w:val="2"/>
                <w:sz w:val="22"/>
                <w:szCs w:val="22"/>
                <w:highlight w:val="none"/>
                <w:lang w:val="en-US" w:eastAsia="zh-CN" w:bidi="ar-SA"/>
              </w:rPr>
              <w:t>生命体征：系统自动采集监护仪信息并以曲线图的方式显示患者生命体征信息和趋势，多终端动态展示24小时生命体征</w:t>
            </w:r>
            <w:r>
              <w:rPr>
                <w:rFonts w:hint="eastAsia" w:ascii="黑体" w:hAnsi="黑体" w:eastAsia="黑体" w:cs="黑体"/>
                <w:bCs/>
                <w:kern w:val="2"/>
                <w:sz w:val="22"/>
                <w:szCs w:val="22"/>
                <w:lang w:val="en-US" w:eastAsia="zh-CN" w:bidi="ar-SA"/>
              </w:rPr>
              <w:t>;</w:t>
            </w:r>
          </w:p>
          <w:p w14:paraId="6D818B67">
            <w:pPr>
              <w:keepNext w:val="0"/>
              <w:keepLines w:val="0"/>
              <w:widowControl/>
              <w:numPr>
                <w:ilvl w:val="0"/>
                <w:numId w:val="6"/>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highlight w:val="none"/>
                <w:lang w:val="en-US" w:eastAsia="zh-CN" w:bidi="ar-SA"/>
              </w:rPr>
            </w:pPr>
            <w:r>
              <w:rPr>
                <w:rFonts w:hint="eastAsia" w:ascii="黑体" w:hAnsi="黑体" w:eastAsia="黑体" w:cs="黑体"/>
                <w:bCs/>
                <w:kern w:val="2"/>
                <w:sz w:val="22"/>
                <w:szCs w:val="22"/>
                <w:highlight w:val="none"/>
                <w:lang w:val="en-US" w:eastAsia="zh-CN" w:bidi="ar-SA"/>
              </w:rPr>
              <w:t>检验检查：系统自动提示生命体征异常的患者数据</w:t>
            </w:r>
            <w:r>
              <w:rPr>
                <w:rFonts w:hint="eastAsia" w:ascii="黑体" w:hAnsi="黑体" w:eastAsia="黑体" w:cs="黑体"/>
                <w:bCs/>
                <w:kern w:val="2"/>
                <w:sz w:val="22"/>
                <w:szCs w:val="22"/>
                <w:lang w:val="en-US" w:eastAsia="zh-CN" w:bidi="ar-SA"/>
              </w:rPr>
              <w:t>;</w:t>
            </w:r>
          </w:p>
          <w:p w14:paraId="7D0182BE">
            <w:pPr>
              <w:keepNext w:val="0"/>
              <w:keepLines w:val="0"/>
              <w:widowControl/>
              <w:numPr>
                <w:ilvl w:val="0"/>
                <w:numId w:val="6"/>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highlight w:val="none"/>
                <w:lang w:val="en-US" w:eastAsia="zh-CN" w:bidi="ar-SA"/>
              </w:rPr>
            </w:pPr>
            <w:r>
              <w:rPr>
                <w:rFonts w:hint="eastAsia" w:ascii="黑体" w:hAnsi="黑体" w:eastAsia="黑体" w:cs="黑体"/>
                <w:bCs/>
                <w:kern w:val="2"/>
                <w:sz w:val="22"/>
                <w:szCs w:val="22"/>
                <w:highlight w:val="none"/>
                <w:lang w:val="en-US" w:eastAsia="zh-CN" w:bidi="ar-SA"/>
              </w:rPr>
              <w:t>监护异常：系统自动将生命体征数据异常的患者概览前移或制置顶示，支持医护人员手动前移或置顶，方便医护人员重点监护危急患者</w:t>
            </w:r>
            <w:r>
              <w:rPr>
                <w:rFonts w:hint="eastAsia" w:ascii="黑体" w:hAnsi="黑体" w:eastAsia="黑体" w:cs="黑体"/>
                <w:bCs/>
                <w:kern w:val="2"/>
                <w:sz w:val="22"/>
                <w:szCs w:val="22"/>
                <w:lang w:val="en-US" w:eastAsia="zh-CN" w:bidi="ar-SA"/>
              </w:rPr>
              <w:t>;</w:t>
            </w:r>
          </w:p>
          <w:p w14:paraId="43A453C1">
            <w:pPr>
              <w:keepNext w:val="0"/>
              <w:keepLines w:val="0"/>
              <w:widowControl/>
              <w:numPr>
                <w:ilvl w:val="0"/>
                <w:numId w:val="6"/>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highlight w:val="none"/>
                <w:lang w:val="en-US" w:eastAsia="zh-CN" w:bidi="ar-SA"/>
              </w:rPr>
            </w:pPr>
            <w:r>
              <w:rPr>
                <w:rFonts w:hint="eastAsia" w:ascii="黑体" w:hAnsi="黑体" w:eastAsia="黑体" w:cs="黑体"/>
                <w:bCs/>
                <w:kern w:val="2"/>
                <w:sz w:val="22"/>
                <w:szCs w:val="22"/>
                <w:highlight w:val="none"/>
                <w:lang w:val="en-US" w:eastAsia="zh-CN" w:bidi="ar-SA"/>
              </w:rPr>
              <w:t>历史回溯：可回溯并检查患者生命体征参数（包括收缩压、舒张压、脉搏、血氧浓度、体温、呼吸、心电波形等</w:t>
            </w:r>
            <w:r>
              <w:rPr>
                <w:rFonts w:hint="eastAsia" w:ascii="黑体" w:hAnsi="黑体" w:eastAsia="黑体" w:cs="黑体"/>
                <w:bCs/>
                <w:kern w:val="2"/>
                <w:sz w:val="22"/>
                <w:szCs w:val="22"/>
                <w:lang w:val="en-US" w:eastAsia="zh-CN" w:bidi="ar-SA"/>
              </w:rPr>
              <w:t>;</w:t>
            </w:r>
          </w:p>
          <w:p w14:paraId="331C3C3C">
            <w:pPr>
              <w:keepNext w:val="0"/>
              <w:keepLines w:val="0"/>
              <w:widowControl/>
              <w:numPr>
                <w:ilvl w:val="0"/>
                <w:numId w:val="6"/>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highlight w:val="none"/>
                <w:lang w:val="en-US" w:eastAsia="zh-CN" w:bidi="ar-SA"/>
              </w:rPr>
            </w:pPr>
            <w:r>
              <w:rPr>
                <w:rFonts w:hint="eastAsia" w:ascii="黑体" w:hAnsi="黑体" w:eastAsia="黑体" w:cs="黑体"/>
                <w:bCs/>
                <w:kern w:val="2"/>
                <w:sz w:val="22"/>
                <w:szCs w:val="22"/>
                <w:highlight w:val="none"/>
                <w:lang w:val="en-US" w:eastAsia="zh-CN" w:bidi="ar-SA"/>
              </w:rPr>
              <w:t>支持出现异常数据，可提供不同级别的报警提示</w:t>
            </w:r>
            <w:r>
              <w:rPr>
                <w:rFonts w:hint="eastAsia" w:ascii="黑体" w:hAnsi="黑体" w:eastAsia="黑体" w:cs="黑体"/>
                <w:bCs/>
                <w:kern w:val="2"/>
                <w:sz w:val="22"/>
                <w:szCs w:val="22"/>
                <w:lang w:val="en-US" w:eastAsia="zh-CN" w:bidi="ar-SA"/>
              </w:rPr>
              <w:t>;</w:t>
            </w:r>
          </w:p>
          <w:p w14:paraId="4A39CE92">
            <w:pPr>
              <w:keepNext w:val="0"/>
              <w:keepLines w:val="0"/>
              <w:widowControl/>
              <w:numPr>
                <w:ilvl w:val="0"/>
                <w:numId w:val="6"/>
              </w:numPr>
              <w:suppressLineNumbers w:val="0"/>
              <w:spacing w:before="0" w:beforeAutospacing="0" w:after="0" w:afterAutospacing="0"/>
              <w:ind w:left="0" w:leftChars="0" w:right="0" w:rightChars="0"/>
              <w:jc w:val="left"/>
              <w:textAlignment w:val="center"/>
              <w:rPr>
                <w:rFonts w:hint="eastAsia" w:ascii="仿宋" w:hAnsi="仿宋" w:eastAsia="仿宋" w:cstheme="minorBidi"/>
                <w:bCs/>
                <w:kern w:val="2"/>
                <w:sz w:val="21"/>
                <w:szCs w:val="21"/>
                <w:lang w:val="en-US" w:eastAsia="zh-CN" w:bidi="ar-SA"/>
              </w:rPr>
            </w:pPr>
            <w:r>
              <w:rPr>
                <w:rFonts w:hint="eastAsia" w:ascii="黑体" w:hAnsi="黑体" w:eastAsia="黑体" w:cs="黑体"/>
                <w:bCs/>
                <w:kern w:val="2"/>
                <w:sz w:val="22"/>
                <w:szCs w:val="22"/>
                <w:highlight w:val="none"/>
                <w:lang w:val="en-US" w:eastAsia="zh-CN" w:bidi="ar-SA"/>
              </w:rPr>
              <w:t>采集到的生命体征数据可提供数字、曲线图等多种展现方式。</w:t>
            </w:r>
          </w:p>
        </w:tc>
        <w:tc>
          <w:tcPr>
            <w:tcW w:w="785" w:type="dxa"/>
            <w:tcBorders>
              <w:top w:val="single" w:color="auto" w:sz="4" w:space="0"/>
              <w:left w:val="single" w:color="auto" w:sz="4" w:space="0"/>
              <w:bottom w:val="single" w:color="auto" w:sz="4" w:space="0"/>
              <w:right w:val="single" w:color="auto" w:sz="4" w:space="0"/>
            </w:tcBorders>
            <w:noWrap w:val="0"/>
            <w:vAlign w:val="top"/>
          </w:tcPr>
          <w:p w14:paraId="35CD0119">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161D462C">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40B6D761">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724DA6C8">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0AE70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5" w:hRule="atLeast"/>
          <w:jc w:val="center"/>
        </w:trPr>
        <w:tc>
          <w:tcPr>
            <w:tcW w:w="684" w:type="dxa"/>
            <w:tcBorders>
              <w:top w:val="single" w:color="auto" w:sz="4" w:space="0"/>
              <w:left w:val="single" w:color="auto" w:sz="4" w:space="0"/>
              <w:bottom w:val="single" w:color="auto" w:sz="4" w:space="0"/>
              <w:right w:val="single" w:color="auto" w:sz="4" w:space="0"/>
            </w:tcBorders>
            <w:noWrap w:val="0"/>
            <w:vAlign w:val="center"/>
          </w:tcPr>
          <w:p w14:paraId="7CB5F4FE">
            <w:pPr>
              <w:pStyle w:val="17"/>
              <w:widowControl/>
              <w:kinsoku w:val="0"/>
              <w:overflowPunct w:val="0"/>
              <w:spacing w:line="400" w:lineRule="exact"/>
              <w:rPr>
                <w:rFonts w:hint="default"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7</w:t>
            </w:r>
          </w:p>
        </w:tc>
        <w:tc>
          <w:tcPr>
            <w:tcW w:w="1179" w:type="dxa"/>
            <w:tcBorders>
              <w:top w:val="single" w:color="auto" w:sz="4" w:space="0"/>
              <w:left w:val="single" w:color="auto" w:sz="4" w:space="0"/>
              <w:bottom w:val="single" w:color="auto" w:sz="4" w:space="0"/>
              <w:right w:val="single" w:color="auto" w:sz="4" w:space="0"/>
            </w:tcBorders>
            <w:noWrap w:val="0"/>
            <w:vAlign w:val="center"/>
          </w:tcPr>
          <w:p w14:paraId="5D67D471">
            <w:pPr>
              <w:pStyle w:val="17"/>
              <w:keepNext w:val="0"/>
              <w:keepLines w:val="0"/>
              <w:widowControl/>
              <w:suppressLineNumbers w:val="0"/>
              <w:kinsoku w:val="0"/>
              <w:overflowPunct w:val="0"/>
              <w:spacing w:before="0" w:beforeAutospacing="0" w:after="0" w:afterAutospacing="0" w:line="400" w:lineRule="exact"/>
              <w:ind w:right="0" w:rightChars="0"/>
              <w:jc w:val="both"/>
              <w:rPr>
                <w:rFonts w:hint="eastAsia" w:ascii="仿宋" w:hAnsi="仿宋" w:eastAsia="仿宋" w:cstheme="minorBidi"/>
                <w:bCs/>
                <w:kern w:val="2"/>
                <w:sz w:val="21"/>
                <w:szCs w:val="21"/>
                <w:lang w:val="en-US" w:eastAsia="zh-CN" w:bidi="ar-SA"/>
              </w:rPr>
            </w:pPr>
            <w:r>
              <w:rPr>
                <w:rFonts w:hint="eastAsia" w:ascii="黑体" w:hAnsi="黑体" w:eastAsia="黑体" w:cs="黑体"/>
                <w:color w:val="000000"/>
                <w:kern w:val="0"/>
                <w:sz w:val="22"/>
                <w:szCs w:val="22"/>
                <w:highlight w:val="none"/>
                <w:lang w:val="en-US" w:eastAsia="zh-CN" w:bidi="ar"/>
              </w:rPr>
              <w:t>绿色通道管理</w:t>
            </w:r>
          </w:p>
        </w:tc>
        <w:tc>
          <w:tcPr>
            <w:tcW w:w="4278" w:type="dxa"/>
            <w:tcBorders>
              <w:top w:val="single" w:color="auto" w:sz="4" w:space="0"/>
              <w:left w:val="single" w:color="auto" w:sz="4" w:space="0"/>
              <w:bottom w:val="single" w:color="auto" w:sz="4" w:space="0"/>
              <w:right w:val="single" w:color="auto" w:sz="4" w:space="0"/>
            </w:tcBorders>
            <w:noWrap w:val="0"/>
            <w:vAlign w:val="top"/>
          </w:tcPr>
          <w:p w14:paraId="4B2AE32D">
            <w:pPr>
              <w:keepNext w:val="0"/>
              <w:keepLines w:val="0"/>
              <w:widowControl/>
              <w:numPr>
                <w:ilvl w:val="0"/>
                <w:numId w:val="7"/>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highlight w:val="none"/>
                <w:lang w:val="en-US" w:eastAsia="zh-CN" w:bidi="ar-SA"/>
              </w:rPr>
            </w:pPr>
            <w:r>
              <w:rPr>
                <w:rFonts w:hint="eastAsia" w:ascii="黑体" w:hAnsi="黑体" w:eastAsia="黑体" w:cs="黑体"/>
                <w:bCs/>
                <w:kern w:val="2"/>
                <w:sz w:val="22"/>
                <w:szCs w:val="22"/>
                <w:highlight w:val="none"/>
                <w:lang w:val="en-US" w:eastAsia="zh-CN" w:bidi="ar-SA"/>
              </w:rPr>
              <w:t>支持为胸痛、群伤、高危孕产妇、中毒、卒中、创伤等患者快速建立绿色通道功能</w:t>
            </w:r>
            <w:r>
              <w:rPr>
                <w:rFonts w:hint="eastAsia" w:ascii="黑体" w:hAnsi="黑体" w:eastAsia="黑体" w:cs="黑体"/>
                <w:bCs/>
                <w:kern w:val="2"/>
                <w:sz w:val="22"/>
                <w:szCs w:val="22"/>
                <w:lang w:val="en-US" w:eastAsia="zh-CN" w:bidi="ar-SA"/>
              </w:rPr>
              <w:t>;</w:t>
            </w:r>
          </w:p>
          <w:p w14:paraId="49981AF2">
            <w:pPr>
              <w:keepNext w:val="0"/>
              <w:keepLines w:val="0"/>
              <w:widowControl/>
              <w:numPr>
                <w:ilvl w:val="0"/>
                <w:numId w:val="7"/>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highlight w:val="none"/>
                <w:lang w:val="en-US" w:eastAsia="zh-CN" w:bidi="ar-SA"/>
              </w:rPr>
            </w:pPr>
            <w:r>
              <w:rPr>
                <w:rFonts w:hint="eastAsia" w:ascii="黑体" w:hAnsi="黑体" w:eastAsia="黑体" w:cs="黑体"/>
                <w:bCs/>
                <w:kern w:val="2"/>
                <w:sz w:val="22"/>
                <w:szCs w:val="22"/>
                <w:highlight w:val="none"/>
                <w:lang w:val="en-US" w:eastAsia="zh-CN" w:bidi="ar-SA"/>
              </w:rPr>
              <w:t>系统可实时监控绿色通道内患者的救治情况，及时更新相关信息。医护人员可通过系统随时了解患者的救治进展</w:t>
            </w:r>
            <w:r>
              <w:rPr>
                <w:rFonts w:hint="eastAsia" w:ascii="黑体" w:hAnsi="黑体" w:eastAsia="黑体" w:cs="黑体"/>
                <w:bCs/>
                <w:kern w:val="2"/>
                <w:sz w:val="22"/>
                <w:szCs w:val="22"/>
                <w:lang w:val="en-US" w:eastAsia="zh-CN" w:bidi="ar-SA"/>
              </w:rPr>
              <w:t>;</w:t>
            </w:r>
          </w:p>
          <w:p w14:paraId="3312A73A">
            <w:pPr>
              <w:keepNext w:val="0"/>
              <w:keepLines w:val="0"/>
              <w:widowControl/>
              <w:numPr>
                <w:ilvl w:val="0"/>
                <w:numId w:val="7"/>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highlight w:val="none"/>
                <w:lang w:val="en-US" w:eastAsia="zh-CN" w:bidi="ar-SA"/>
              </w:rPr>
            </w:pPr>
            <w:r>
              <w:rPr>
                <w:rFonts w:hint="eastAsia" w:ascii="黑体" w:hAnsi="黑体" w:eastAsia="黑体" w:cs="黑体"/>
                <w:bCs/>
                <w:kern w:val="2"/>
                <w:sz w:val="22"/>
                <w:szCs w:val="22"/>
                <w:highlight w:val="none"/>
                <w:lang w:val="en-US" w:eastAsia="zh-CN" w:bidi="ar-SA"/>
              </w:rPr>
              <w:t>支持为预检分诊患者绑定腕带、解除绑定、腕带归还管理；支持腕带(手环)与患者信息一一对应，支持为院前急救和危重患者快速绑定腕带；支持腕带(手环)一键绑定或解绑功能；支持腕带(手环）使用状态查询，支持腕带（手环）归还</w:t>
            </w:r>
            <w:r>
              <w:rPr>
                <w:rFonts w:hint="eastAsia" w:ascii="黑体" w:hAnsi="黑体" w:eastAsia="黑体" w:cs="黑体"/>
                <w:bCs/>
                <w:kern w:val="2"/>
                <w:sz w:val="22"/>
                <w:szCs w:val="22"/>
                <w:lang w:val="en-US" w:eastAsia="zh-CN" w:bidi="ar-SA"/>
              </w:rPr>
              <w:t>;</w:t>
            </w:r>
          </w:p>
          <w:p w14:paraId="14305583">
            <w:pPr>
              <w:keepNext w:val="0"/>
              <w:keepLines w:val="0"/>
              <w:widowControl/>
              <w:numPr>
                <w:ilvl w:val="0"/>
                <w:numId w:val="7"/>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highlight w:val="none"/>
                <w:lang w:val="en-US" w:eastAsia="zh-CN" w:bidi="ar-SA"/>
              </w:rPr>
            </w:pPr>
            <w:r>
              <w:rPr>
                <w:rFonts w:hint="eastAsia" w:ascii="黑体" w:hAnsi="黑体" w:eastAsia="黑体" w:cs="黑体"/>
                <w:bCs/>
                <w:kern w:val="2"/>
                <w:sz w:val="22"/>
                <w:szCs w:val="22"/>
                <w:highlight w:val="none"/>
                <w:lang w:val="en-US" w:eastAsia="zh-CN" w:bidi="ar-SA"/>
              </w:rPr>
              <w:t>支持路径自定义管理。淮确、客观记录路径节点的时间、地点、人物信息</w:t>
            </w:r>
            <w:r>
              <w:rPr>
                <w:rFonts w:hint="eastAsia" w:ascii="黑体" w:hAnsi="黑体" w:eastAsia="黑体" w:cs="黑体"/>
                <w:bCs/>
                <w:kern w:val="2"/>
                <w:sz w:val="22"/>
                <w:szCs w:val="22"/>
                <w:lang w:val="en-US" w:eastAsia="zh-CN" w:bidi="ar-SA"/>
              </w:rPr>
              <w:t>;</w:t>
            </w:r>
          </w:p>
          <w:p w14:paraId="313AF7FD">
            <w:pPr>
              <w:keepNext w:val="0"/>
              <w:keepLines w:val="0"/>
              <w:widowControl/>
              <w:numPr>
                <w:ilvl w:val="0"/>
                <w:numId w:val="7"/>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highlight w:val="none"/>
                <w:lang w:val="en-US" w:eastAsia="zh-CN" w:bidi="ar-SA"/>
              </w:rPr>
            </w:pPr>
            <w:r>
              <w:rPr>
                <w:rFonts w:hint="eastAsia" w:ascii="黑体" w:hAnsi="黑体" w:eastAsia="黑体" w:cs="黑体"/>
                <w:bCs/>
                <w:kern w:val="2"/>
                <w:sz w:val="22"/>
                <w:szCs w:val="22"/>
                <w:highlight w:val="none"/>
                <w:lang w:val="en-US" w:eastAsia="zh-CN" w:bidi="ar-SA"/>
              </w:rPr>
              <w:t>通过自动化的患者时间节点采集管理，在绿道运行的过程中，采集设备可以自动记录患者到达和离开的时间，相关数据自动同步至系统当中</w:t>
            </w:r>
            <w:r>
              <w:rPr>
                <w:rFonts w:hint="eastAsia" w:ascii="黑体" w:hAnsi="黑体" w:eastAsia="黑体" w:cs="黑体"/>
                <w:bCs/>
                <w:kern w:val="2"/>
                <w:sz w:val="22"/>
                <w:szCs w:val="22"/>
                <w:lang w:val="en-US" w:eastAsia="zh-CN" w:bidi="ar-SA"/>
              </w:rPr>
              <w:t>;</w:t>
            </w:r>
          </w:p>
          <w:p w14:paraId="5DF51414">
            <w:pPr>
              <w:keepNext w:val="0"/>
              <w:keepLines w:val="0"/>
              <w:widowControl/>
              <w:numPr>
                <w:ilvl w:val="0"/>
                <w:numId w:val="7"/>
              </w:numPr>
              <w:suppressLineNumbers w:val="0"/>
              <w:spacing w:before="0" w:beforeAutospacing="0" w:after="0" w:afterAutospacing="0"/>
              <w:ind w:left="0" w:leftChars="0" w:right="0" w:rightChars="0"/>
              <w:jc w:val="left"/>
              <w:textAlignment w:val="center"/>
              <w:rPr>
                <w:rFonts w:hint="eastAsia" w:ascii="仿宋" w:hAnsi="仿宋" w:eastAsia="仿宋" w:cstheme="minorBidi"/>
                <w:bCs/>
                <w:kern w:val="2"/>
                <w:sz w:val="21"/>
                <w:szCs w:val="21"/>
                <w:lang w:val="en-US" w:eastAsia="zh-CN" w:bidi="ar-SA"/>
              </w:rPr>
            </w:pPr>
            <w:r>
              <w:rPr>
                <w:rFonts w:hint="eastAsia" w:ascii="黑体" w:hAnsi="黑体" w:eastAsia="黑体" w:cs="黑体"/>
                <w:bCs/>
                <w:kern w:val="2"/>
                <w:sz w:val="22"/>
                <w:szCs w:val="22"/>
                <w:highlight w:val="none"/>
                <w:lang w:val="en-US" w:eastAsia="zh-CN" w:bidi="ar-SA"/>
              </w:rPr>
              <w:t>可直观显示路径总览，包括路径中所有的事件，执行情况和执行时间。</w:t>
            </w:r>
          </w:p>
        </w:tc>
        <w:tc>
          <w:tcPr>
            <w:tcW w:w="785" w:type="dxa"/>
            <w:tcBorders>
              <w:top w:val="single" w:color="auto" w:sz="4" w:space="0"/>
              <w:left w:val="single" w:color="auto" w:sz="4" w:space="0"/>
              <w:bottom w:val="single" w:color="auto" w:sz="4" w:space="0"/>
              <w:right w:val="single" w:color="auto" w:sz="4" w:space="0"/>
            </w:tcBorders>
            <w:noWrap w:val="0"/>
            <w:vAlign w:val="top"/>
          </w:tcPr>
          <w:p w14:paraId="35181179">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6C57EEFB">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1AEF7EAC">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335216B8">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407A5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684" w:type="dxa"/>
            <w:tcBorders>
              <w:top w:val="single" w:color="auto" w:sz="4" w:space="0"/>
              <w:left w:val="single" w:color="auto" w:sz="4" w:space="0"/>
              <w:bottom w:val="single" w:color="auto" w:sz="4" w:space="0"/>
              <w:right w:val="single" w:color="auto" w:sz="4" w:space="0"/>
            </w:tcBorders>
            <w:noWrap w:val="0"/>
            <w:vAlign w:val="center"/>
          </w:tcPr>
          <w:p w14:paraId="0189876B">
            <w:pPr>
              <w:pStyle w:val="17"/>
              <w:widowControl/>
              <w:kinsoku w:val="0"/>
              <w:overflowPunct w:val="0"/>
              <w:spacing w:line="400" w:lineRule="exact"/>
              <w:rPr>
                <w:rFonts w:hint="default"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8</w:t>
            </w:r>
          </w:p>
        </w:tc>
        <w:tc>
          <w:tcPr>
            <w:tcW w:w="1179" w:type="dxa"/>
            <w:tcBorders>
              <w:top w:val="single" w:color="auto" w:sz="4" w:space="0"/>
              <w:left w:val="single" w:color="auto" w:sz="4" w:space="0"/>
              <w:bottom w:val="single" w:color="auto" w:sz="4" w:space="0"/>
              <w:right w:val="single" w:color="auto" w:sz="4" w:space="0"/>
            </w:tcBorders>
            <w:noWrap w:val="0"/>
            <w:vAlign w:val="center"/>
          </w:tcPr>
          <w:p w14:paraId="3ADC0EE6">
            <w:pPr>
              <w:pStyle w:val="17"/>
              <w:keepNext w:val="0"/>
              <w:keepLines w:val="0"/>
              <w:widowControl/>
              <w:suppressLineNumbers w:val="0"/>
              <w:kinsoku w:val="0"/>
              <w:overflowPunct w:val="0"/>
              <w:spacing w:before="0" w:beforeAutospacing="0" w:after="0" w:afterAutospacing="0" w:line="400" w:lineRule="exact"/>
              <w:ind w:right="0" w:rightChars="0"/>
              <w:jc w:val="both"/>
              <w:rPr>
                <w:rFonts w:hint="eastAsia" w:ascii="仿宋" w:hAnsi="仿宋" w:eastAsia="仿宋" w:cstheme="minorBidi"/>
                <w:bCs/>
                <w:kern w:val="2"/>
                <w:sz w:val="21"/>
                <w:szCs w:val="21"/>
                <w:lang w:val="en-US" w:eastAsia="zh-CN" w:bidi="ar-SA"/>
              </w:rPr>
            </w:pPr>
            <w:r>
              <w:rPr>
                <w:rFonts w:hint="eastAsia" w:ascii="黑体" w:hAnsi="黑体" w:eastAsia="黑体" w:cs="黑体"/>
                <w:color w:val="000000"/>
                <w:kern w:val="0"/>
                <w:sz w:val="22"/>
                <w:szCs w:val="22"/>
                <w:lang w:val="en-US" w:eastAsia="zh-CN" w:bidi="ar"/>
              </w:rPr>
              <w:t>急诊质控管理</w:t>
            </w:r>
          </w:p>
        </w:tc>
        <w:tc>
          <w:tcPr>
            <w:tcW w:w="4278" w:type="dxa"/>
            <w:tcBorders>
              <w:top w:val="single" w:color="auto" w:sz="4" w:space="0"/>
              <w:left w:val="single" w:color="auto" w:sz="4" w:space="0"/>
              <w:bottom w:val="single" w:color="auto" w:sz="4" w:space="0"/>
              <w:right w:val="single" w:color="auto" w:sz="4" w:space="0"/>
            </w:tcBorders>
            <w:noWrap w:val="0"/>
            <w:vAlign w:val="top"/>
          </w:tcPr>
          <w:p w14:paraId="38874C14">
            <w:pPr>
              <w:keepNext w:val="0"/>
              <w:keepLines w:val="0"/>
              <w:widowControl/>
              <w:numPr>
                <w:ilvl w:val="0"/>
                <w:numId w:val="8"/>
              </w:numPr>
              <w:suppressLineNumbers w:val="0"/>
              <w:spacing w:before="0" w:beforeAutospacing="0" w:after="0" w:afterAutospacing="0"/>
              <w:ind w:left="0" w:right="0"/>
              <w:jc w:val="left"/>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系统支持急诊医学专业医疗质量控制指标（2024版）和急诊急救专科护理质量重点监测指标（2024）;</w:t>
            </w:r>
          </w:p>
          <w:p w14:paraId="1BAFE58F">
            <w:pPr>
              <w:keepNext w:val="0"/>
              <w:keepLines w:val="0"/>
              <w:widowControl/>
              <w:numPr>
                <w:ilvl w:val="0"/>
                <w:numId w:val="8"/>
              </w:numPr>
              <w:suppressLineNumbers w:val="0"/>
              <w:spacing w:before="0" w:beforeAutospacing="0" w:after="0" w:afterAutospacing="0"/>
              <w:ind w:left="0" w:right="0"/>
              <w:jc w:val="left"/>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以急诊科临床信息系统建设为基础，通过数据分析、存储、挖掘、计算结果来展示急诊科医疗质量工作成果。作为急诊科医疗质量管理与控制体系的重要组成部分和管理工具，为持续改进急诊科临床医疗质量发挥重要意义。以此信息化工具作为新质生产力，不断提升医疗质量管理的科学化、精细化、规范化水平，保障医疗质量安全;</w:t>
            </w:r>
          </w:p>
          <w:p w14:paraId="6E5FFECF">
            <w:pPr>
              <w:keepNext w:val="0"/>
              <w:keepLines w:val="0"/>
              <w:widowControl/>
              <w:numPr>
                <w:ilvl w:val="0"/>
                <w:numId w:val="8"/>
              </w:numPr>
              <w:suppressLineNumbers w:val="0"/>
              <w:spacing w:before="0" w:beforeAutospacing="0" w:after="0" w:afterAutospacing="0"/>
              <w:ind w:left="0" w:right="0"/>
              <w:jc w:val="left"/>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急诊科医患比（EM-SI-01）: 系统计算：急诊科医师总数与同期急诊科接诊患者总人次之比，意义在于反映医疗机构急诊科医师资源配置情况;</w:t>
            </w:r>
          </w:p>
          <w:p w14:paraId="3845F9A9">
            <w:pPr>
              <w:keepNext w:val="0"/>
              <w:keepLines w:val="0"/>
              <w:widowControl/>
              <w:numPr>
                <w:ilvl w:val="0"/>
                <w:numId w:val="8"/>
              </w:numPr>
              <w:suppressLineNumbers w:val="0"/>
              <w:spacing w:before="0" w:beforeAutospacing="0" w:after="0" w:afterAutospacing="0"/>
              <w:ind w:left="0" w:right="0"/>
              <w:jc w:val="left"/>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急诊科护患比（EM-SI-02）：系统计算：急诊科护士总数与同期急诊科接诊患者总人次之比，意义在于反映医疗机构急诊科护士资源配置情况;</w:t>
            </w:r>
          </w:p>
          <w:p w14:paraId="3450DA76">
            <w:pPr>
              <w:keepNext w:val="0"/>
              <w:keepLines w:val="0"/>
              <w:widowControl/>
              <w:numPr>
                <w:ilvl w:val="0"/>
                <w:numId w:val="8"/>
              </w:numPr>
              <w:suppressLineNumbers w:val="0"/>
              <w:spacing w:before="0" w:beforeAutospacing="0" w:after="0" w:afterAutospacing="0"/>
              <w:ind w:left="0" w:right="0"/>
              <w:jc w:val="left"/>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抢救室滞留时间（中位数）（EM-ME-03）：系统计算：将患者从进入抢救室到离开抢救室（不包括死亡 患者）的时间由长到短排序后取其中位数，意义在于反映急诊效率和急危重症救治质量;</w:t>
            </w:r>
          </w:p>
          <w:p w14:paraId="29FF39B5">
            <w:pPr>
              <w:keepNext w:val="0"/>
              <w:keepLines w:val="0"/>
              <w:widowControl/>
              <w:numPr>
                <w:ilvl w:val="0"/>
                <w:numId w:val="8"/>
              </w:numPr>
              <w:suppressLineNumbers w:val="0"/>
              <w:spacing w:before="0" w:beforeAutospacing="0" w:after="0" w:afterAutospacing="0"/>
              <w:ind w:left="0" w:right="0"/>
              <w:jc w:val="left"/>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急诊分级分诊执行率（EM-ME-04）：系统计算：急诊（预检分诊）执行分级分诊的患者例次占同 期急诊接诊患者总例次的比例，意义在于反映急诊分级分诊的规范性;</w:t>
            </w:r>
          </w:p>
          <w:p w14:paraId="5FF7D3CE">
            <w:pPr>
              <w:keepNext w:val="0"/>
              <w:keepLines w:val="0"/>
              <w:widowControl/>
              <w:numPr>
                <w:ilvl w:val="0"/>
                <w:numId w:val="8"/>
              </w:numPr>
              <w:suppressLineNumbers w:val="0"/>
              <w:spacing w:before="0" w:beforeAutospacing="0" w:after="0" w:afterAutospacing="0"/>
              <w:ind w:left="0" w:right="0"/>
              <w:jc w:val="left"/>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急诊 IV 级患者静脉输液使（EM-ME-05）：系统计算：接受静脉输液治疗的急诊 IV 级患者例数占同期 急诊就诊 IV 级患者总例数的比例，反映急诊静脉输液治疗管理情况;</w:t>
            </w:r>
          </w:p>
          <w:p w14:paraId="5704263F">
            <w:pPr>
              <w:keepNext w:val="0"/>
              <w:keepLines w:val="0"/>
              <w:widowControl/>
              <w:numPr>
                <w:ilvl w:val="0"/>
                <w:numId w:val="8"/>
              </w:numPr>
              <w:suppressLineNumbers w:val="0"/>
              <w:spacing w:before="0" w:beforeAutospacing="0" w:after="0" w:afterAutospacing="0"/>
              <w:ind w:left="0" w:right="0"/>
              <w:jc w:val="left"/>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心肺复苏（CPR）质量监测率（EM-CA-06）：系统计算：进行 CPR 质量监测的患者例数占同期 CPR 患者总例数的比例，意义在于心肺复苏过程性指标的监测有助于优化心肺复苏 质量、提高复苏成功率;</w:t>
            </w:r>
          </w:p>
          <w:p w14:paraId="3D2BCE99">
            <w:pPr>
              <w:keepNext w:val="0"/>
              <w:keepLines w:val="0"/>
              <w:widowControl/>
              <w:numPr>
                <w:ilvl w:val="0"/>
                <w:numId w:val="8"/>
              </w:numPr>
              <w:suppressLineNumbers w:val="0"/>
              <w:spacing w:before="0" w:beforeAutospacing="0" w:after="0" w:afterAutospacing="0"/>
              <w:ind w:left="0" w:right="0"/>
              <w:jc w:val="left"/>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心脏骤停复苏成功率（EM-CA-07）：系统计算：院前/院内复苏成功的心脏骤停患者人数占同期行 CPR 的心脏骤停患者总人数的比例，意义在于反映心脏骤停急诊救治能力和质量;</w:t>
            </w:r>
          </w:p>
          <w:p w14:paraId="7D673A21">
            <w:pPr>
              <w:keepNext w:val="0"/>
              <w:keepLines w:val="0"/>
              <w:widowControl/>
              <w:numPr>
                <w:ilvl w:val="0"/>
                <w:numId w:val="8"/>
              </w:numPr>
              <w:suppressLineNumbers w:val="0"/>
              <w:spacing w:before="0" w:beforeAutospacing="0" w:after="0" w:afterAutospacing="0"/>
              <w:ind w:left="0" w:right="0"/>
              <w:jc w:val="left"/>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复苏成功后昏迷患者目标体温管理实施率 （EM-CA-08）: 系统计算：实施目标体温管理的复苏成功后昏迷患者例数占同期复苏成功后昏迷患者总例数的比例,意义在于反映心脏骤停自主循环恢复后管理的规范性;</w:t>
            </w:r>
          </w:p>
          <w:p w14:paraId="7C0A8771">
            <w:pPr>
              <w:keepNext w:val="0"/>
              <w:keepLines w:val="0"/>
              <w:widowControl/>
              <w:numPr>
                <w:ilvl w:val="0"/>
                <w:numId w:val="8"/>
              </w:numPr>
              <w:suppressLineNumbers w:val="0"/>
              <w:spacing w:before="0" w:beforeAutospacing="0" w:after="0" w:afterAutospacing="0"/>
              <w:ind w:left="0" w:right="0"/>
              <w:jc w:val="left"/>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心脏骤停患者出院存活率（EM-CA-09）：系统计算：心脏骤停患者出院时存活人数占同期心脏骤停总人数的比例，意义在于反映心脏骤停的综合救治能力;</w:t>
            </w:r>
          </w:p>
          <w:p w14:paraId="76F7AF69">
            <w:pPr>
              <w:keepNext w:val="0"/>
              <w:keepLines w:val="0"/>
              <w:widowControl/>
              <w:numPr>
                <w:ilvl w:val="0"/>
                <w:numId w:val="8"/>
              </w:numPr>
              <w:suppressLineNumbers w:val="0"/>
              <w:spacing w:before="0" w:beforeAutospacing="0" w:after="0" w:afterAutospacing="0"/>
              <w:ind w:left="0" w:right="0"/>
              <w:jc w:val="left"/>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脓毒性休克 1 小时内抗菌药物使用率（EM-SS-10）：系统计算：脓毒性休克 1 小时内使用抗菌药物的患者例数占同期脓毒性休克患者总例数的比例，意义在于反映脓毒性休克治疗中抗菌药物早期应用情况;</w:t>
            </w:r>
          </w:p>
          <w:p w14:paraId="237306EC">
            <w:pPr>
              <w:keepNext w:val="0"/>
              <w:keepLines w:val="0"/>
              <w:widowControl/>
              <w:numPr>
                <w:ilvl w:val="0"/>
                <w:numId w:val="8"/>
              </w:numPr>
              <w:suppressLineNumbers w:val="0"/>
              <w:spacing w:before="0" w:beforeAutospacing="0" w:after="0" w:afterAutospacing="0"/>
              <w:ind w:left="0" w:right="0"/>
              <w:jc w:val="left"/>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急诊重症监护病房（EICU）脓毒性休克患者病死率（EM-SS-11）: 系统计算： EICU 脓毒性休克患者死亡人数占同期 EICU 脓毒性休克患者总人数的比例,意义在于反映 EICU 脓毒性休克救治质量;</w:t>
            </w:r>
          </w:p>
          <w:p w14:paraId="0AD78DB8">
            <w:pPr>
              <w:keepNext w:val="0"/>
              <w:keepLines w:val="0"/>
              <w:widowControl/>
              <w:numPr>
                <w:ilvl w:val="0"/>
                <w:numId w:val="8"/>
              </w:numPr>
              <w:suppressLineNumbers w:val="0"/>
              <w:spacing w:before="0" w:beforeAutospacing="0" w:after="0" w:afterAutospacing="0"/>
              <w:ind w:left="0" w:right="0"/>
              <w:jc w:val="left"/>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急诊创伤患者创伤量化评估率（EM-ET-12）：系统计算：急诊创伤患者应用创伤评分系统完成量化评估的 例数占同期急诊创伤患者总例数的比例，意义在于反映急诊创伤评估的规范性;</w:t>
            </w:r>
          </w:p>
          <w:p w14:paraId="7E4D4720">
            <w:pPr>
              <w:keepNext w:val="0"/>
              <w:keepLines w:val="0"/>
              <w:widowControl/>
              <w:numPr>
                <w:ilvl w:val="0"/>
                <w:numId w:val="8"/>
              </w:numPr>
              <w:suppressLineNumbers w:val="0"/>
              <w:spacing w:before="0" w:beforeAutospacing="0" w:after="0" w:afterAutospacing="0"/>
              <w:ind w:left="0" w:right="0"/>
              <w:jc w:val="left"/>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严重创伤患者就诊－手术时间（中位数）（EM-ET-13）:系统计算：严重创伤患者从急诊就诊至开始施行手术时间由长到短排序后取中位数，意义在于反映急诊创伤救治效率;</w:t>
            </w:r>
          </w:p>
          <w:p w14:paraId="7F9526E6">
            <w:pPr>
              <w:keepNext w:val="0"/>
              <w:keepLines w:val="0"/>
              <w:widowControl/>
              <w:numPr>
                <w:ilvl w:val="0"/>
                <w:numId w:val="8"/>
              </w:numPr>
              <w:suppressLineNumbers w:val="0"/>
              <w:spacing w:before="0" w:beforeAutospacing="0" w:after="0" w:afterAutospacing="0"/>
              <w:ind w:left="0" w:right="0"/>
              <w:jc w:val="left"/>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严重创伤患者 24 小时存活率（EM-ET-14）：系统计算：就诊 24 小时后存活的严重创伤患者人数占同期 严重创伤患者总人数的比例，意义在于反映急诊严重创伤的救治能力;</w:t>
            </w:r>
          </w:p>
          <w:p w14:paraId="3EF68583">
            <w:pPr>
              <w:keepNext w:val="0"/>
              <w:keepLines w:val="0"/>
              <w:widowControl/>
              <w:numPr>
                <w:ilvl w:val="0"/>
                <w:numId w:val="8"/>
              </w:numPr>
              <w:suppressLineNumbers w:val="0"/>
              <w:spacing w:before="0" w:beforeAutospacing="0" w:after="0" w:afterAutospacing="0"/>
              <w:ind w:left="0" w:right="0"/>
              <w:jc w:val="left"/>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急诊中心静脉置管早期血管并发症发生率 （EM-EP-15）:系统计算：急诊中心静脉置管发生早期血管并发症的例数占 同期急诊中心静脉置管总例数的比例，意义在于反映急诊科中心静脉置管操作质量;</w:t>
            </w:r>
          </w:p>
          <w:p w14:paraId="37A5A32C">
            <w:pPr>
              <w:keepNext w:val="0"/>
              <w:keepLines w:val="0"/>
              <w:widowControl/>
              <w:numPr>
                <w:ilvl w:val="0"/>
                <w:numId w:val="8"/>
              </w:numPr>
              <w:suppressLineNumbers w:val="0"/>
              <w:spacing w:before="0" w:beforeAutospacing="0" w:after="0" w:afterAutospacing="0"/>
              <w:ind w:left="0" w:right="0"/>
              <w:jc w:val="left"/>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体外膜肺氧合辅助心肺复苏（ECPR）实施时间（中位数）（EM-EP-16）：系统计算：ECPR 实施时间指从启动动静脉置管至体外循环开 始运行的时间。将 ECPR 实施时间由长到短排序后取中位数，意义在于反映 ECMO 辅助心肺复苏的质量和效率;</w:t>
            </w:r>
          </w:p>
          <w:p w14:paraId="693A61C8">
            <w:pPr>
              <w:keepNext w:val="0"/>
              <w:keepLines w:val="0"/>
              <w:widowControl/>
              <w:numPr>
                <w:ilvl w:val="0"/>
                <w:numId w:val="8"/>
              </w:numPr>
              <w:suppressLineNumbers w:val="0"/>
              <w:spacing w:before="0" w:beforeAutospacing="0" w:after="0" w:afterAutospacing="0"/>
              <w:ind w:left="0" w:right="0"/>
              <w:jc w:val="left"/>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急诊科护患比;</w:t>
            </w:r>
          </w:p>
          <w:p w14:paraId="348F80AD">
            <w:pPr>
              <w:keepNext w:val="0"/>
              <w:keepLines w:val="0"/>
              <w:widowControl/>
              <w:numPr>
                <w:ilvl w:val="0"/>
                <w:numId w:val="8"/>
              </w:numPr>
              <w:suppressLineNumbers w:val="0"/>
              <w:spacing w:before="0" w:beforeAutospacing="0" w:after="0" w:afterAutospacing="0"/>
              <w:ind w:left="0" w:right="0"/>
              <w:jc w:val="left"/>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急诊预检分诊准确率与分级合格率;</w:t>
            </w:r>
          </w:p>
          <w:p w14:paraId="5CC589AD">
            <w:pPr>
              <w:keepNext w:val="0"/>
              <w:keepLines w:val="0"/>
              <w:widowControl/>
              <w:numPr>
                <w:ilvl w:val="0"/>
                <w:numId w:val="8"/>
              </w:numPr>
              <w:suppressLineNumbers w:val="0"/>
              <w:spacing w:before="0" w:beforeAutospacing="0" w:after="0" w:afterAutospacing="0"/>
              <w:ind w:left="0" w:right="0"/>
              <w:jc w:val="left"/>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急诊各级患者比例;</w:t>
            </w:r>
          </w:p>
          <w:p w14:paraId="49FB18C7">
            <w:pPr>
              <w:keepNext w:val="0"/>
              <w:keepLines w:val="0"/>
              <w:widowControl/>
              <w:numPr>
                <w:ilvl w:val="0"/>
                <w:numId w:val="8"/>
              </w:numPr>
              <w:suppressLineNumbers w:val="0"/>
              <w:spacing w:before="0" w:beforeAutospacing="0" w:after="0" w:afterAutospacing="0"/>
              <w:ind w:left="0" w:right="0"/>
              <w:jc w:val="left"/>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急诊抢救室患者死亡率;</w:t>
            </w:r>
          </w:p>
          <w:p w14:paraId="489282CB">
            <w:pPr>
              <w:keepNext w:val="0"/>
              <w:keepLines w:val="0"/>
              <w:widowControl/>
              <w:numPr>
                <w:ilvl w:val="0"/>
                <w:numId w:val="8"/>
              </w:numPr>
              <w:suppressLineNumbers w:val="0"/>
              <w:spacing w:before="0" w:beforeAutospacing="0" w:after="0" w:afterAutospacing="0"/>
              <w:ind w:left="0" w:right="0"/>
              <w:jc w:val="left"/>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ROSC 成功率;</w:t>
            </w:r>
          </w:p>
          <w:p w14:paraId="3E4F9621">
            <w:pPr>
              <w:keepNext w:val="0"/>
              <w:keepLines w:val="0"/>
              <w:widowControl/>
              <w:numPr>
                <w:ilvl w:val="0"/>
                <w:numId w:val="8"/>
              </w:numPr>
              <w:suppressLineNumbers w:val="0"/>
              <w:spacing w:before="0" w:beforeAutospacing="0" w:after="0" w:afterAutospacing="0"/>
              <w:ind w:left="0" w:right="0"/>
              <w:jc w:val="left"/>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胸痛中心相关护理指标;</w:t>
            </w:r>
          </w:p>
          <w:p w14:paraId="1184F994">
            <w:pPr>
              <w:keepNext w:val="0"/>
              <w:keepLines w:val="0"/>
              <w:widowControl/>
              <w:numPr>
                <w:ilvl w:val="0"/>
                <w:numId w:val="8"/>
              </w:numPr>
              <w:suppressLineNumbers w:val="0"/>
              <w:spacing w:before="0" w:beforeAutospacing="0" w:after="0" w:afterAutospacing="0"/>
              <w:ind w:left="0" w:leftChars="0" w:right="0" w:rightChars="0"/>
              <w:jc w:val="left"/>
              <w:rPr>
                <w:rFonts w:hint="eastAsia" w:ascii="仿宋" w:hAnsi="仿宋" w:eastAsia="仿宋" w:cstheme="minorBidi"/>
                <w:bCs/>
                <w:kern w:val="2"/>
                <w:sz w:val="21"/>
                <w:szCs w:val="21"/>
                <w:lang w:val="en-US" w:eastAsia="zh-CN" w:bidi="ar-SA"/>
              </w:rPr>
            </w:pPr>
            <w:r>
              <w:rPr>
                <w:rFonts w:hint="eastAsia" w:ascii="黑体" w:hAnsi="黑体" w:eastAsia="黑体" w:cs="黑体"/>
                <w:bCs/>
                <w:kern w:val="2"/>
                <w:sz w:val="22"/>
                <w:szCs w:val="22"/>
                <w:lang w:val="en-US" w:eastAsia="zh-CN" w:bidi="ar-SA"/>
              </w:rPr>
              <w:t>卒中中心相关护理指标。</w:t>
            </w:r>
          </w:p>
        </w:tc>
        <w:tc>
          <w:tcPr>
            <w:tcW w:w="785" w:type="dxa"/>
            <w:tcBorders>
              <w:top w:val="single" w:color="auto" w:sz="4" w:space="0"/>
              <w:left w:val="single" w:color="auto" w:sz="4" w:space="0"/>
              <w:bottom w:val="single" w:color="auto" w:sz="4" w:space="0"/>
              <w:right w:val="single" w:color="auto" w:sz="4" w:space="0"/>
            </w:tcBorders>
            <w:noWrap w:val="0"/>
            <w:vAlign w:val="top"/>
          </w:tcPr>
          <w:p w14:paraId="40165CB3">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302958D3">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4648005C">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7681EFFD">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3E82E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0" w:hRule="atLeast"/>
          <w:jc w:val="center"/>
        </w:trPr>
        <w:tc>
          <w:tcPr>
            <w:tcW w:w="684" w:type="dxa"/>
            <w:tcBorders>
              <w:top w:val="single" w:color="auto" w:sz="4" w:space="0"/>
              <w:left w:val="single" w:color="auto" w:sz="4" w:space="0"/>
              <w:bottom w:val="single" w:color="auto" w:sz="4" w:space="0"/>
              <w:right w:val="single" w:color="auto" w:sz="4" w:space="0"/>
            </w:tcBorders>
            <w:noWrap w:val="0"/>
            <w:vAlign w:val="center"/>
          </w:tcPr>
          <w:p w14:paraId="65FDD753">
            <w:pPr>
              <w:pStyle w:val="17"/>
              <w:widowControl/>
              <w:kinsoku w:val="0"/>
              <w:overflowPunct w:val="0"/>
              <w:spacing w:line="400" w:lineRule="exact"/>
              <w:rPr>
                <w:rFonts w:hint="default"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9</w:t>
            </w:r>
          </w:p>
        </w:tc>
        <w:tc>
          <w:tcPr>
            <w:tcW w:w="1179" w:type="dxa"/>
            <w:tcBorders>
              <w:top w:val="single" w:color="auto" w:sz="4" w:space="0"/>
              <w:left w:val="single" w:color="auto" w:sz="4" w:space="0"/>
              <w:bottom w:val="single" w:color="auto" w:sz="4" w:space="0"/>
              <w:right w:val="single" w:color="auto" w:sz="4" w:space="0"/>
            </w:tcBorders>
            <w:noWrap w:val="0"/>
            <w:vAlign w:val="center"/>
          </w:tcPr>
          <w:p w14:paraId="1BE3F77C">
            <w:pPr>
              <w:pStyle w:val="17"/>
              <w:keepNext w:val="0"/>
              <w:keepLines w:val="0"/>
              <w:widowControl/>
              <w:suppressLineNumbers w:val="0"/>
              <w:kinsoku w:val="0"/>
              <w:overflowPunct w:val="0"/>
              <w:spacing w:before="0" w:beforeAutospacing="0" w:after="0" w:afterAutospacing="0" w:line="400" w:lineRule="exact"/>
              <w:ind w:right="0" w:rightChars="0"/>
              <w:jc w:val="center"/>
              <w:rPr>
                <w:rFonts w:hint="eastAsia" w:ascii="仿宋" w:hAnsi="仿宋" w:eastAsia="仿宋" w:cstheme="minorBidi"/>
                <w:bCs/>
                <w:kern w:val="2"/>
                <w:sz w:val="21"/>
                <w:szCs w:val="21"/>
                <w:lang w:val="en-US" w:eastAsia="zh-CN" w:bidi="ar-SA"/>
              </w:rPr>
            </w:pPr>
            <w:r>
              <w:rPr>
                <w:rFonts w:hint="eastAsia" w:ascii="黑体" w:hAnsi="黑体" w:eastAsia="黑体" w:cs="黑体"/>
                <w:color w:val="000000"/>
                <w:kern w:val="0"/>
                <w:sz w:val="22"/>
                <w:szCs w:val="22"/>
                <w:highlight w:val="none"/>
                <w:lang w:val="en-US" w:eastAsia="zh-CN" w:bidi="ar"/>
              </w:rPr>
              <w:t>急诊数据统计</w:t>
            </w:r>
          </w:p>
        </w:tc>
        <w:tc>
          <w:tcPr>
            <w:tcW w:w="4278" w:type="dxa"/>
            <w:tcBorders>
              <w:top w:val="single" w:color="auto" w:sz="4" w:space="0"/>
              <w:left w:val="single" w:color="auto" w:sz="4" w:space="0"/>
              <w:bottom w:val="single" w:color="auto" w:sz="4" w:space="0"/>
              <w:right w:val="single" w:color="auto" w:sz="4" w:space="0"/>
            </w:tcBorders>
            <w:noWrap w:val="0"/>
            <w:vAlign w:val="top"/>
          </w:tcPr>
          <w:p w14:paraId="02845861">
            <w:pPr>
              <w:keepNext w:val="0"/>
              <w:keepLines w:val="0"/>
              <w:widowControl/>
              <w:numPr>
                <w:ilvl w:val="0"/>
                <w:numId w:val="9"/>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支持急诊服务量、住院量、院内急诊、转出量统计分析;</w:t>
            </w:r>
          </w:p>
          <w:p w14:paraId="1D2188DD">
            <w:pPr>
              <w:keepNext w:val="0"/>
              <w:keepLines w:val="0"/>
              <w:widowControl/>
              <w:numPr>
                <w:ilvl w:val="0"/>
                <w:numId w:val="9"/>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支持急诊大屏多样化显示统计数据，包括按年龄段、地区、病种筛选;</w:t>
            </w:r>
          </w:p>
          <w:p w14:paraId="66258746">
            <w:pPr>
              <w:keepNext w:val="0"/>
              <w:keepLines w:val="0"/>
              <w:widowControl/>
              <w:numPr>
                <w:ilvl w:val="0"/>
                <w:numId w:val="9"/>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支持系统时间轴的质控;</w:t>
            </w:r>
          </w:p>
          <w:p w14:paraId="5DC3B050">
            <w:pPr>
              <w:keepNext w:val="0"/>
              <w:keepLines w:val="0"/>
              <w:widowControl/>
              <w:numPr>
                <w:ilvl w:val="0"/>
                <w:numId w:val="9"/>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支持72小时内重返急诊的统计分析;</w:t>
            </w:r>
          </w:p>
          <w:p w14:paraId="6EF05BF7">
            <w:pPr>
              <w:keepNext w:val="0"/>
              <w:keepLines w:val="0"/>
              <w:widowControl/>
              <w:numPr>
                <w:ilvl w:val="0"/>
                <w:numId w:val="9"/>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支持普通病人、一、二级病人相应时间和处理时间的统计分析;</w:t>
            </w:r>
          </w:p>
          <w:p w14:paraId="0BFD257C">
            <w:pPr>
              <w:keepNext w:val="0"/>
              <w:keepLines w:val="0"/>
              <w:widowControl/>
              <w:numPr>
                <w:ilvl w:val="0"/>
                <w:numId w:val="9"/>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支持留观超过24、48、72小时比例分析;</w:t>
            </w:r>
          </w:p>
          <w:p w14:paraId="6D2735F7">
            <w:pPr>
              <w:keepNext w:val="0"/>
              <w:keepLines w:val="0"/>
              <w:widowControl/>
              <w:numPr>
                <w:ilvl w:val="0"/>
                <w:numId w:val="9"/>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支持急诊诊断质控分析;</w:t>
            </w:r>
          </w:p>
          <w:p w14:paraId="52B8FC90">
            <w:pPr>
              <w:keepNext w:val="0"/>
              <w:keepLines w:val="0"/>
              <w:widowControl/>
              <w:numPr>
                <w:ilvl w:val="0"/>
                <w:numId w:val="9"/>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数据统计分析：具有急诊常用统计功能，例如系统支持分类统计出急救患者的病种种类信息、急救病种的百分比、急救患者的急救效果、急救效果的百分比、单病种统计等报表，系统可提供用户个性化报表需求编辑功能，为用户提供自己需要的格式报表;</w:t>
            </w:r>
          </w:p>
          <w:p w14:paraId="437AAA1D">
            <w:pPr>
              <w:keepNext w:val="0"/>
              <w:keepLines w:val="0"/>
              <w:widowControl/>
              <w:numPr>
                <w:ilvl w:val="0"/>
                <w:numId w:val="9"/>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支持入院数统计;</w:t>
            </w:r>
          </w:p>
          <w:p w14:paraId="79955CFE">
            <w:pPr>
              <w:keepNext w:val="0"/>
              <w:keepLines w:val="0"/>
              <w:widowControl/>
              <w:numPr>
                <w:ilvl w:val="0"/>
                <w:numId w:val="9"/>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支持出院数统计，包括出院、死亡、转出;</w:t>
            </w:r>
          </w:p>
          <w:p w14:paraId="17BBB026">
            <w:pPr>
              <w:keepNext w:val="0"/>
              <w:keepLines w:val="0"/>
              <w:widowControl/>
              <w:numPr>
                <w:ilvl w:val="0"/>
                <w:numId w:val="9"/>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支持急诊抢救患者原有数、急诊抢救患者现有数;</w:t>
            </w:r>
          </w:p>
          <w:p w14:paraId="0D29DDFA">
            <w:pPr>
              <w:keepNext w:val="0"/>
              <w:keepLines w:val="0"/>
              <w:widowControl/>
              <w:numPr>
                <w:ilvl w:val="0"/>
                <w:numId w:val="9"/>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支持入院数统计，包括入院、转入;</w:t>
            </w:r>
          </w:p>
          <w:p w14:paraId="253FC82B">
            <w:pPr>
              <w:keepNext w:val="0"/>
              <w:keepLines w:val="0"/>
              <w:widowControl/>
              <w:numPr>
                <w:ilvl w:val="0"/>
                <w:numId w:val="9"/>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支持出院数统计，包括出院、死亡、转出;</w:t>
            </w:r>
          </w:p>
          <w:p w14:paraId="561A4613">
            <w:pPr>
              <w:keepNext w:val="0"/>
              <w:keepLines w:val="0"/>
              <w:widowControl/>
              <w:numPr>
                <w:ilvl w:val="0"/>
                <w:numId w:val="9"/>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支持急诊抢救患者原有数、急诊抢救患者现有数;</w:t>
            </w:r>
          </w:p>
          <w:p w14:paraId="68025538">
            <w:pPr>
              <w:keepNext w:val="0"/>
              <w:keepLines w:val="0"/>
              <w:widowControl/>
              <w:numPr>
                <w:ilvl w:val="0"/>
                <w:numId w:val="9"/>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支持急诊重症科每日收入院人次;</w:t>
            </w:r>
          </w:p>
          <w:p w14:paraId="0EA630CF">
            <w:pPr>
              <w:keepNext w:val="0"/>
              <w:keepLines w:val="0"/>
              <w:widowControl/>
              <w:numPr>
                <w:ilvl w:val="0"/>
                <w:numId w:val="9"/>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支持急诊急诊综合每日收入院人次;</w:t>
            </w:r>
          </w:p>
          <w:p w14:paraId="276D599A">
            <w:pPr>
              <w:keepNext w:val="0"/>
              <w:keepLines w:val="0"/>
              <w:widowControl/>
              <w:numPr>
                <w:ilvl w:val="0"/>
                <w:numId w:val="9"/>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支持急诊乳腺外科每日收入院人次;</w:t>
            </w:r>
          </w:p>
          <w:p w14:paraId="76AFC375">
            <w:pPr>
              <w:keepNext w:val="0"/>
              <w:keepLines w:val="0"/>
              <w:widowControl/>
              <w:numPr>
                <w:ilvl w:val="0"/>
                <w:numId w:val="9"/>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支持急诊急诊神经外科每日收入院人次;</w:t>
            </w:r>
          </w:p>
          <w:p w14:paraId="4A0CCDF7">
            <w:pPr>
              <w:keepNext w:val="0"/>
              <w:keepLines w:val="0"/>
              <w:widowControl/>
              <w:numPr>
                <w:ilvl w:val="0"/>
                <w:numId w:val="9"/>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支持急诊急诊呼吸与危重症医学科每日收入院人次;</w:t>
            </w:r>
          </w:p>
          <w:p w14:paraId="67122A4F">
            <w:pPr>
              <w:keepNext w:val="0"/>
              <w:keepLines w:val="0"/>
              <w:widowControl/>
              <w:numPr>
                <w:ilvl w:val="0"/>
                <w:numId w:val="9"/>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支持急诊急诊内分泌科每日收入院人次;</w:t>
            </w:r>
          </w:p>
          <w:p w14:paraId="5CE6EE3F">
            <w:pPr>
              <w:keepNext w:val="0"/>
              <w:keepLines w:val="0"/>
              <w:widowControl/>
              <w:numPr>
                <w:ilvl w:val="0"/>
                <w:numId w:val="9"/>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支持急诊急诊神经外科每日收入院人次;</w:t>
            </w:r>
          </w:p>
          <w:p w14:paraId="111D0F35">
            <w:pPr>
              <w:keepNext w:val="0"/>
              <w:keepLines w:val="0"/>
              <w:widowControl/>
              <w:numPr>
                <w:ilvl w:val="0"/>
                <w:numId w:val="9"/>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支持接诊院前急救入院患者人次;</w:t>
            </w:r>
          </w:p>
          <w:p w14:paraId="11AE04B4">
            <w:pPr>
              <w:keepNext w:val="0"/>
              <w:keepLines w:val="0"/>
              <w:widowControl/>
              <w:numPr>
                <w:ilvl w:val="0"/>
                <w:numId w:val="0"/>
              </w:numPr>
              <w:suppressLineNumbers w:val="0"/>
              <w:spacing w:before="0" w:beforeAutospacing="0" w:after="0" w:afterAutospacing="0"/>
              <w:ind w:left="0" w:leftChars="0" w:right="0" w:rightChars="0" w:firstLine="0" w:firstLineChars="0"/>
              <w:jc w:val="left"/>
              <w:textAlignment w:val="center"/>
              <w:rPr>
                <w:rFonts w:hint="eastAsia" w:ascii="仿宋" w:hAnsi="仿宋" w:eastAsia="仿宋" w:cstheme="minorBidi"/>
                <w:bCs/>
                <w:kern w:val="2"/>
                <w:sz w:val="21"/>
                <w:szCs w:val="21"/>
                <w:lang w:val="en-US" w:eastAsia="zh-CN" w:bidi="ar-SA"/>
              </w:rPr>
            </w:pPr>
            <w:r>
              <w:rPr>
                <w:rFonts w:hint="eastAsia" w:ascii="黑体" w:hAnsi="黑体" w:eastAsia="黑体" w:cs="黑体"/>
                <w:bCs/>
                <w:kern w:val="2"/>
                <w:sz w:val="22"/>
                <w:szCs w:val="22"/>
                <w:lang w:val="en-US" w:eastAsia="zh-CN" w:bidi="ar-SA"/>
              </w:rPr>
              <w:t>23.支持自定义统计数据和报表统计。</w:t>
            </w:r>
          </w:p>
        </w:tc>
        <w:tc>
          <w:tcPr>
            <w:tcW w:w="785" w:type="dxa"/>
            <w:tcBorders>
              <w:top w:val="single" w:color="auto" w:sz="4" w:space="0"/>
              <w:left w:val="single" w:color="auto" w:sz="4" w:space="0"/>
              <w:bottom w:val="single" w:color="auto" w:sz="4" w:space="0"/>
              <w:right w:val="single" w:color="auto" w:sz="4" w:space="0"/>
            </w:tcBorders>
            <w:noWrap w:val="0"/>
            <w:vAlign w:val="top"/>
          </w:tcPr>
          <w:p w14:paraId="10296999">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0FEAEF6A">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0CC0DD94">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75F4371B">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0E064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5" w:hRule="atLeast"/>
          <w:jc w:val="center"/>
        </w:trPr>
        <w:tc>
          <w:tcPr>
            <w:tcW w:w="684" w:type="dxa"/>
            <w:tcBorders>
              <w:top w:val="single" w:color="auto" w:sz="4" w:space="0"/>
              <w:left w:val="single" w:color="auto" w:sz="4" w:space="0"/>
              <w:bottom w:val="single" w:color="auto" w:sz="4" w:space="0"/>
              <w:right w:val="single" w:color="auto" w:sz="4" w:space="0"/>
            </w:tcBorders>
            <w:noWrap w:val="0"/>
            <w:vAlign w:val="center"/>
          </w:tcPr>
          <w:p w14:paraId="2D275C36">
            <w:pPr>
              <w:pStyle w:val="17"/>
              <w:widowControl/>
              <w:kinsoku w:val="0"/>
              <w:overflowPunct w:val="0"/>
              <w:spacing w:line="400" w:lineRule="exact"/>
              <w:rPr>
                <w:rFonts w:hint="default"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10</w:t>
            </w:r>
          </w:p>
        </w:tc>
        <w:tc>
          <w:tcPr>
            <w:tcW w:w="1179" w:type="dxa"/>
            <w:tcBorders>
              <w:top w:val="single" w:color="auto" w:sz="4" w:space="0"/>
              <w:left w:val="single" w:color="auto" w:sz="4" w:space="0"/>
              <w:bottom w:val="single" w:color="auto" w:sz="4" w:space="0"/>
              <w:right w:val="single" w:color="auto" w:sz="4" w:space="0"/>
            </w:tcBorders>
            <w:noWrap w:val="0"/>
            <w:vAlign w:val="center"/>
          </w:tcPr>
          <w:p w14:paraId="39B6557E">
            <w:pPr>
              <w:pStyle w:val="17"/>
              <w:keepNext w:val="0"/>
              <w:keepLines w:val="0"/>
              <w:widowControl/>
              <w:suppressLineNumbers w:val="0"/>
              <w:kinsoku w:val="0"/>
              <w:overflowPunct w:val="0"/>
              <w:spacing w:before="0" w:beforeAutospacing="0" w:after="0" w:afterAutospacing="0" w:line="400" w:lineRule="exact"/>
              <w:ind w:right="0" w:rightChars="0"/>
              <w:jc w:val="center"/>
              <w:rPr>
                <w:rFonts w:hint="eastAsia" w:ascii="仿宋" w:hAnsi="仿宋" w:eastAsia="仿宋" w:cstheme="minorBidi"/>
                <w:bCs/>
                <w:kern w:val="2"/>
                <w:sz w:val="21"/>
                <w:szCs w:val="21"/>
                <w:lang w:val="en-US" w:eastAsia="zh-CN" w:bidi="ar-SA"/>
              </w:rPr>
            </w:pPr>
            <w:r>
              <w:rPr>
                <w:rFonts w:hint="eastAsia" w:ascii="黑体" w:hAnsi="黑体" w:eastAsia="黑体" w:cs="黑体"/>
                <w:color w:val="auto"/>
                <w:kern w:val="2"/>
                <w:sz w:val="24"/>
                <w:szCs w:val="20"/>
                <w:lang w:val="en-US" w:eastAsia="zh-CN" w:bidi="ar-SA"/>
                <w14:ligatures w14:val="standardContextual"/>
              </w:rPr>
              <w:t>升级</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37257947">
            <w:pPr>
              <w:keepNext w:val="0"/>
              <w:keepLines w:val="0"/>
              <w:widowControl/>
              <w:suppressLineNumbers w:val="0"/>
              <w:spacing w:before="0" w:beforeAutospacing="0" w:after="0" w:afterAutospacing="0"/>
              <w:ind w:left="0" w:leftChars="0" w:right="0" w:rightChars="0"/>
              <w:jc w:val="left"/>
              <w:textAlignment w:val="center"/>
              <w:rPr>
                <w:rFonts w:hint="eastAsia" w:ascii="仿宋" w:hAnsi="仿宋" w:eastAsia="仿宋" w:cstheme="minorBidi"/>
                <w:bCs/>
                <w:kern w:val="2"/>
                <w:sz w:val="21"/>
                <w:szCs w:val="21"/>
                <w:lang w:val="en-US" w:eastAsia="zh-CN" w:bidi="ar-SA"/>
              </w:rPr>
            </w:pPr>
            <w:r>
              <w:rPr>
                <w:rFonts w:hint="eastAsia" w:ascii="黑体" w:hAnsi="黑体" w:eastAsia="黑体" w:cs="黑体"/>
                <w:color w:val="000000"/>
                <w:kern w:val="0"/>
                <w:sz w:val="22"/>
                <w:lang w:bidi="ar"/>
              </w:rPr>
              <w:t>对胸痛、卒中、创伤系统升级改造，满足电子病历评审五级和互联互通四级甲等的评审要求。</w:t>
            </w:r>
          </w:p>
        </w:tc>
        <w:tc>
          <w:tcPr>
            <w:tcW w:w="785" w:type="dxa"/>
            <w:tcBorders>
              <w:top w:val="single" w:color="auto" w:sz="4" w:space="0"/>
              <w:left w:val="single" w:color="auto" w:sz="4" w:space="0"/>
              <w:bottom w:val="single" w:color="auto" w:sz="4" w:space="0"/>
              <w:right w:val="single" w:color="auto" w:sz="4" w:space="0"/>
            </w:tcBorders>
            <w:noWrap w:val="0"/>
            <w:vAlign w:val="top"/>
          </w:tcPr>
          <w:p w14:paraId="4AC211BC">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7A91A8D0">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3CCDD2C6">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2EFB0942">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52640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5" w:hRule="atLeast"/>
          <w:jc w:val="center"/>
        </w:trPr>
        <w:tc>
          <w:tcPr>
            <w:tcW w:w="684" w:type="dxa"/>
            <w:tcBorders>
              <w:top w:val="single" w:color="auto" w:sz="4" w:space="0"/>
              <w:left w:val="single" w:color="auto" w:sz="4" w:space="0"/>
              <w:bottom w:val="single" w:color="auto" w:sz="4" w:space="0"/>
              <w:right w:val="single" w:color="auto" w:sz="4" w:space="0"/>
            </w:tcBorders>
            <w:noWrap w:val="0"/>
            <w:vAlign w:val="center"/>
          </w:tcPr>
          <w:p w14:paraId="56CF4A86">
            <w:pPr>
              <w:pStyle w:val="17"/>
              <w:widowControl/>
              <w:kinsoku w:val="0"/>
              <w:overflowPunct w:val="0"/>
              <w:spacing w:line="400" w:lineRule="exact"/>
              <w:rPr>
                <w:rFonts w:hint="default"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11</w:t>
            </w:r>
          </w:p>
        </w:tc>
        <w:tc>
          <w:tcPr>
            <w:tcW w:w="1179" w:type="dxa"/>
            <w:tcBorders>
              <w:top w:val="single" w:color="auto" w:sz="4" w:space="0"/>
              <w:left w:val="single" w:color="auto" w:sz="4" w:space="0"/>
              <w:bottom w:val="single" w:color="auto" w:sz="4" w:space="0"/>
              <w:right w:val="single" w:color="auto" w:sz="4" w:space="0"/>
            </w:tcBorders>
            <w:noWrap w:val="0"/>
            <w:vAlign w:val="center"/>
          </w:tcPr>
          <w:p w14:paraId="0CBC1C8E">
            <w:pPr>
              <w:pStyle w:val="17"/>
              <w:keepNext w:val="0"/>
              <w:keepLines w:val="0"/>
              <w:widowControl/>
              <w:suppressLineNumbers w:val="0"/>
              <w:kinsoku w:val="0"/>
              <w:overflowPunct w:val="0"/>
              <w:spacing w:before="0" w:beforeAutospacing="0" w:after="0" w:afterAutospacing="0" w:line="400" w:lineRule="exact"/>
              <w:ind w:right="0" w:rightChars="0"/>
              <w:jc w:val="center"/>
              <w:rPr>
                <w:rFonts w:hint="eastAsia" w:ascii="仿宋" w:hAnsi="仿宋" w:eastAsia="仿宋" w:cstheme="minorBidi"/>
                <w:bCs/>
                <w:kern w:val="2"/>
                <w:sz w:val="21"/>
                <w:szCs w:val="21"/>
                <w:lang w:val="en-US" w:eastAsia="zh-CN" w:bidi="ar-SA"/>
              </w:rPr>
            </w:pPr>
            <w:r>
              <w:rPr>
                <w:rFonts w:hint="eastAsia" w:ascii="黑体" w:hAnsi="黑体" w:eastAsia="黑体" w:cs="黑体"/>
                <w:b w:val="0"/>
                <w:bCs w:val="0"/>
                <w:color w:val="auto"/>
                <w:kern w:val="2"/>
                <w:sz w:val="24"/>
                <w:szCs w:val="20"/>
                <w:lang w:val="en-US" w:eastAsia="zh-CN" w:bidi="ar-SA"/>
                <w14:ligatures w14:val="standardContextual"/>
              </w:rPr>
              <w:t>系统要求</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1B410918">
            <w:pPr>
              <w:keepNext w:val="0"/>
              <w:keepLines w:val="0"/>
              <w:widowControl/>
              <w:numPr>
                <w:ilvl w:val="0"/>
                <w:numId w:val="10"/>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系统需按照国家信息系统安全“三级等保”相关要求，认证要求开发或承诺修改，保障每条数据的信息和隐私安全;</w:t>
            </w:r>
          </w:p>
          <w:p w14:paraId="3781FB87">
            <w:pPr>
              <w:keepNext w:val="0"/>
              <w:keepLines w:val="0"/>
              <w:widowControl/>
              <w:numPr>
                <w:ilvl w:val="0"/>
                <w:numId w:val="10"/>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免费提供电子病历五级（智慧医疗分级评价五级）、互联互通四甲等涉及本系统相关评级咨询、实证材料、现场迎检等服务;</w:t>
            </w:r>
          </w:p>
          <w:p w14:paraId="2316D430">
            <w:pPr>
              <w:keepNext w:val="0"/>
              <w:keepLines w:val="0"/>
              <w:widowControl/>
              <w:numPr>
                <w:ilvl w:val="0"/>
                <w:numId w:val="10"/>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系统实施及免费质保期内，应根据需求方个性化临床及管理需求予以免费修改功能;</w:t>
            </w:r>
          </w:p>
          <w:p w14:paraId="4B35D6FD">
            <w:pPr>
              <w:keepNext w:val="0"/>
              <w:keepLines w:val="0"/>
              <w:widowControl/>
              <w:numPr>
                <w:ilvl w:val="0"/>
                <w:numId w:val="10"/>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系统实施及免费质保期内，应根据需求方收到的政策性文件及项目建设要求进行免费修改，并保证需求方顺利通过验收;</w:t>
            </w:r>
          </w:p>
          <w:p w14:paraId="32A57A75">
            <w:pPr>
              <w:keepNext w:val="0"/>
              <w:keepLines w:val="0"/>
              <w:widowControl/>
              <w:numPr>
                <w:ilvl w:val="0"/>
                <w:numId w:val="10"/>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系统实施及免费质保期和服务期内，需按需求方要求免费对接需求方相关系统，并承担与第三方系统对接时产生的所有费用（包括不限于接口、视图等所有可能方式）;</w:t>
            </w:r>
          </w:p>
          <w:p w14:paraId="3902A50C">
            <w:pPr>
              <w:keepNext w:val="0"/>
              <w:keepLines w:val="0"/>
              <w:widowControl/>
              <w:numPr>
                <w:ilvl w:val="0"/>
                <w:numId w:val="10"/>
              </w:numPr>
              <w:suppressLineNumbers w:val="0"/>
              <w:spacing w:before="0" w:beforeAutospacing="0" w:after="0" w:afterAutospacing="0"/>
              <w:ind w:left="0" w:leftChars="0" w:right="0" w:rightChars="0"/>
              <w:jc w:val="left"/>
              <w:textAlignment w:val="center"/>
              <w:rPr>
                <w:rFonts w:hint="eastAsia" w:ascii="仿宋" w:hAnsi="仿宋" w:eastAsia="仿宋" w:cstheme="minorBidi"/>
                <w:bCs/>
                <w:kern w:val="2"/>
                <w:sz w:val="21"/>
                <w:szCs w:val="21"/>
                <w:lang w:val="en-US" w:eastAsia="zh-CN" w:bidi="ar-SA"/>
              </w:rPr>
            </w:pPr>
            <w:r>
              <w:rPr>
                <w:rFonts w:hint="eastAsia" w:ascii="黑体" w:hAnsi="黑体" w:eastAsia="黑体" w:cs="黑体"/>
                <w:bCs/>
                <w:kern w:val="2"/>
                <w:sz w:val="22"/>
                <w:szCs w:val="22"/>
                <w:highlight w:val="none"/>
                <w:lang w:val="en-US" w:eastAsia="zh-CN" w:bidi="ar-SA"/>
              </w:rPr>
              <w:t>投标人承诺，所提供产品均具有自主知识产权，具有相关知识产权证书，如存在任何侵犯他人知识产权的行为，由中标方承担产权风险责任</w:t>
            </w:r>
            <w:r>
              <w:rPr>
                <w:rFonts w:hint="eastAsia" w:ascii="黑体" w:hAnsi="黑体" w:eastAsia="黑体" w:cs="黑体"/>
                <w:bCs/>
                <w:kern w:val="2"/>
                <w:sz w:val="22"/>
                <w:szCs w:val="22"/>
                <w:lang w:val="en-US" w:eastAsia="zh-CN" w:bidi="ar-SA"/>
              </w:rPr>
              <w:t>;</w:t>
            </w:r>
          </w:p>
          <w:p w14:paraId="0C5C5AB6">
            <w:pPr>
              <w:keepNext w:val="0"/>
              <w:keepLines w:val="0"/>
              <w:widowControl/>
              <w:numPr>
                <w:ilvl w:val="0"/>
                <w:numId w:val="10"/>
              </w:numPr>
              <w:suppressLineNumbers w:val="0"/>
              <w:spacing w:before="0" w:beforeAutospacing="0" w:after="0" w:afterAutospacing="0"/>
              <w:ind w:left="0" w:leftChars="0" w:right="0" w:rightChars="0"/>
              <w:jc w:val="left"/>
              <w:textAlignment w:val="center"/>
              <w:rPr>
                <w:rFonts w:hint="eastAsia" w:ascii="仿宋" w:hAnsi="仿宋" w:eastAsia="仿宋" w:cstheme="minorBidi"/>
                <w:bCs/>
                <w:kern w:val="2"/>
                <w:sz w:val="21"/>
                <w:szCs w:val="21"/>
                <w:lang w:val="en-US" w:eastAsia="zh-CN" w:bidi="ar-SA"/>
              </w:rPr>
            </w:pPr>
            <w:r>
              <w:rPr>
                <w:rFonts w:hint="eastAsia" w:ascii="黑体" w:hAnsi="黑体" w:eastAsia="黑体" w:cs="黑体"/>
                <w:bCs/>
                <w:kern w:val="2"/>
                <w:sz w:val="22"/>
                <w:szCs w:val="22"/>
                <w:highlight w:val="none"/>
                <w:lang w:val="en-US" w:eastAsia="zh-CN" w:bidi="ar-SA"/>
              </w:rPr>
              <w:t>完成部署并上线试运行，经评估通过后进入运维服务期，服务期限三年</w:t>
            </w:r>
            <w:r>
              <w:rPr>
                <w:rFonts w:hint="eastAsia" w:ascii="黑体" w:hAnsi="黑体" w:eastAsia="黑体" w:cs="黑体"/>
                <w:bCs/>
                <w:kern w:val="2"/>
                <w:sz w:val="22"/>
                <w:szCs w:val="22"/>
                <w:lang w:val="en-US" w:eastAsia="zh-CN" w:bidi="ar-SA"/>
              </w:rPr>
              <w:t>;</w:t>
            </w:r>
          </w:p>
        </w:tc>
        <w:tc>
          <w:tcPr>
            <w:tcW w:w="785" w:type="dxa"/>
            <w:tcBorders>
              <w:top w:val="single" w:color="auto" w:sz="4" w:space="0"/>
              <w:left w:val="single" w:color="auto" w:sz="4" w:space="0"/>
              <w:bottom w:val="single" w:color="auto" w:sz="4" w:space="0"/>
              <w:right w:val="single" w:color="auto" w:sz="4" w:space="0"/>
            </w:tcBorders>
            <w:noWrap w:val="0"/>
            <w:vAlign w:val="top"/>
          </w:tcPr>
          <w:p w14:paraId="42978AA4">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16E68CF5">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15AC3518">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46150B5D">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35067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5" w:hRule="atLeast"/>
          <w:jc w:val="center"/>
        </w:trPr>
        <w:tc>
          <w:tcPr>
            <w:tcW w:w="684" w:type="dxa"/>
            <w:tcBorders>
              <w:top w:val="single" w:color="auto" w:sz="4" w:space="0"/>
              <w:left w:val="single" w:color="auto" w:sz="4" w:space="0"/>
              <w:bottom w:val="single" w:color="auto" w:sz="4" w:space="0"/>
              <w:right w:val="single" w:color="auto" w:sz="4" w:space="0"/>
            </w:tcBorders>
            <w:noWrap w:val="0"/>
            <w:vAlign w:val="center"/>
          </w:tcPr>
          <w:p w14:paraId="1F0CFAB8">
            <w:pPr>
              <w:pStyle w:val="17"/>
              <w:widowControl/>
              <w:kinsoku w:val="0"/>
              <w:overflowPunct w:val="0"/>
              <w:spacing w:line="400" w:lineRule="exact"/>
              <w:rPr>
                <w:rFonts w:hint="default"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12</w:t>
            </w:r>
          </w:p>
        </w:tc>
        <w:tc>
          <w:tcPr>
            <w:tcW w:w="1179" w:type="dxa"/>
            <w:tcBorders>
              <w:top w:val="single" w:color="auto" w:sz="4" w:space="0"/>
              <w:left w:val="single" w:color="auto" w:sz="4" w:space="0"/>
              <w:bottom w:val="single" w:color="auto" w:sz="4" w:space="0"/>
              <w:right w:val="single" w:color="auto" w:sz="4" w:space="0"/>
            </w:tcBorders>
            <w:noWrap w:val="0"/>
            <w:vAlign w:val="top"/>
          </w:tcPr>
          <w:p w14:paraId="1EDA90CF">
            <w:pPr>
              <w:keepNext w:val="0"/>
              <w:keepLines w:val="0"/>
              <w:widowControl/>
              <w:numPr>
                <w:ilvl w:val="0"/>
                <w:numId w:val="0"/>
              </w:numPr>
              <w:suppressLineNumbers w:val="0"/>
              <w:spacing w:before="0" w:beforeAutospacing="0" w:after="0" w:afterAutospacing="0"/>
              <w:ind w:left="0" w:leftChars="0" w:right="0" w:rightChars="0" w:firstLine="0" w:firstLineChars="0"/>
              <w:jc w:val="left"/>
              <w:textAlignment w:val="center"/>
              <w:rPr>
                <w:rFonts w:hint="eastAsia" w:ascii="仿宋" w:hAnsi="仿宋" w:eastAsia="仿宋" w:cstheme="minorBidi"/>
                <w:bCs/>
                <w:kern w:val="2"/>
                <w:sz w:val="21"/>
                <w:szCs w:val="21"/>
                <w:lang w:val="en-US" w:eastAsia="zh-CN" w:bidi="ar-SA"/>
              </w:rPr>
            </w:pPr>
            <w:r>
              <w:rPr>
                <w:rFonts w:hint="eastAsia" w:ascii="黑体" w:hAnsi="黑体" w:eastAsia="黑体" w:cs="黑体"/>
                <w:bCs/>
                <w:kern w:val="2"/>
                <w:sz w:val="22"/>
                <w:szCs w:val="22"/>
                <w:lang w:val="en-US" w:eastAsia="zh-CN" w:bidi="ar-SA"/>
              </w:rPr>
              <w:t>移动端PDA(</w:t>
            </w:r>
            <w:r>
              <w:rPr>
                <w:rFonts w:hint="eastAsia" w:ascii="黑体" w:hAnsi="黑体" w:eastAsia="黑体" w:cs="黑体"/>
                <w:bCs/>
                <w:kern w:val="2"/>
                <w:sz w:val="21"/>
                <w:szCs w:val="21"/>
                <w:lang w:val="en-US" w:eastAsia="zh-CN" w:bidi="ar-SA"/>
              </w:rPr>
              <w:t>2台</w:t>
            </w:r>
            <w:r>
              <w:rPr>
                <w:rFonts w:hint="eastAsia" w:ascii="黑体" w:hAnsi="黑体" w:eastAsia="黑体" w:cs="黑体"/>
                <w:bCs/>
                <w:kern w:val="2"/>
                <w:sz w:val="22"/>
                <w:szCs w:val="22"/>
                <w:lang w:val="en-US" w:eastAsia="zh-CN" w:bidi="ar-SA"/>
              </w:rPr>
              <w:t>)</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2475A975">
            <w:pPr>
              <w:keepNext w:val="0"/>
              <w:keepLines w:val="0"/>
              <w:widowControl/>
              <w:numPr>
                <w:ilvl w:val="0"/>
                <w:numId w:val="11"/>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支持5G通信功能，支持5G物理网卡。</w:t>
            </w:r>
          </w:p>
          <w:p w14:paraId="792ADFED">
            <w:pPr>
              <w:keepNext w:val="0"/>
              <w:keepLines w:val="0"/>
              <w:widowControl/>
              <w:numPr>
                <w:ilvl w:val="0"/>
                <w:numId w:val="11"/>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处理器：八核及以上处理器，CPU主频≥2.2GHz;</w:t>
            </w:r>
          </w:p>
          <w:p w14:paraId="7CA737D8">
            <w:pPr>
              <w:keepNext w:val="0"/>
              <w:keepLines w:val="0"/>
              <w:widowControl/>
              <w:numPr>
                <w:ilvl w:val="0"/>
                <w:numId w:val="11"/>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操作系统：操作系统 Android12及以上；</w:t>
            </w:r>
          </w:p>
          <w:p w14:paraId="528C8230">
            <w:pPr>
              <w:keepNext w:val="0"/>
              <w:keepLines w:val="0"/>
              <w:widowControl/>
              <w:numPr>
                <w:ilvl w:val="0"/>
                <w:numId w:val="11"/>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RAM：≥4GB;</w:t>
            </w:r>
          </w:p>
          <w:p w14:paraId="6B4967BE">
            <w:pPr>
              <w:keepNext w:val="0"/>
              <w:keepLines w:val="0"/>
              <w:widowControl/>
              <w:numPr>
                <w:ilvl w:val="0"/>
                <w:numId w:val="11"/>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ROM：≥64GB、支持存储扩展;</w:t>
            </w:r>
          </w:p>
          <w:p w14:paraId="57031415">
            <w:pPr>
              <w:keepNext w:val="0"/>
              <w:keepLines w:val="0"/>
              <w:widowControl/>
              <w:numPr>
                <w:ilvl w:val="0"/>
                <w:numId w:val="11"/>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屏幕：≥5.7 英寸彩色全面屏（720×1440）;</w:t>
            </w:r>
          </w:p>
          <w:p w14:paraId="3AE16DCD">
            <w:pPr>
              <w:keepNext w:val="0"/>
              <w:keepLines w:val="0"/>
              <w:widowControl/>
              <w:numPr>
                <w:ilvl w:val="0"/>
                <w:numId w:val="11"/>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支持多点触控、手套触摸，带水操作和被动笔签名；摄像头前置 800W 像素，后置 1600W 摄像头支持变焦、自动对焦，能支持现场录像功能；</w:t>
            </w:r>
          </w:p>
          <w:p w14:paraId="7D82A2EA">
            <w:pPr>
              <w:keepNext w:val="0"/>
              <w:keepLines w:val="0"/>
              <w:widowControl/>
              <w:numPr>
                <w:ilvl w:val="0"/>
                <w:numId w:val="11"/>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电池：≥3.85V 5000mAh 可充电锂电池，可无需工具拆卸;</w:t>
            </w:r>
          </w:p>
          <w:p w14:paraId="5D221D90">
            <w:pPr>
              <w:keepNext w:val="0"/>
              <w:keepLines w:val="0"/>
              <w:widowControl/>
              <w:numPr>
                <w:ilvl w:val="0"/>
                <w:numId w:val="11"/>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蓝牙：BT5.0 + BR/EDR + BLE;</w:t>
            </w:r>
          </w:p>
          <w:p w14:paraId="65E6BA59">
            <w:pPr>
              <w:keepNext w:val="0"/>
              <w:keepLines w:val="0"/>
              <w:widowControl/>
              <w:numPr>
                <w:ilvl w:val="0"/>
                <w:numId w:val="11"/>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设备平均无故障工作时间MTBF≥40000小时（提供符合GB/T 5080.1-2012标准的第三方检测报告；）;</w:t>
            </w:r>
          </w:p>
          <w:p w14:paraId="6EE81548">
            <w:pPr>
              <w:keepNext w:val="0"/>
              <w:keepLines w:val="0"/>
              <w:widowControl/>
              <w:numPr>
                <w:ilvl w:val="0"/>
                <w:numId w:val="11"/>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网络传输：WIFI2.4G/5G双频， IEEE 802.11a/b/g/n/ac/d/e/h/i/k/r/v/w 协议;</w:t>
            </w:r>
          </w:p>
          <w:p w14:paraId="180E8FC1">
            <w:pPr>
              <w:keepNext w:val="0"/>
              <w:keepLines w:val="0"/>
              <w:widowControl/>
              <w:numPr>
                <w:ilvl w:val="0"/>
                <w:numId w:val="11"/>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快速漫游： 802.11r /OKC/ PMKID caching;</w:t>
            </w:r>
          </w:p>
          <w:p w14:paraId="2AE683AB">
            <w:pPr>
              <w:keepNext w:val="0"/>
              <w:keepLines w:val="0"/>
              <w:widowControl/>
              <w:numPr>
                <w:ilvl w:val="0"/>
                <w:numId w:val="11"/>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IP68防护等级;</w:t>
            </w:r>
          </w:p>
          <w:p w14:paraId="14ACB53D">
            <w:pPr>
              <w:keepNext w:val="0"/>
              <w:keepLines w:val="0"/>
              <w:widowControl/>
              <w:numPr>
                <w:ilvl w:val="0"/>
                <w:numId w:val="11"/>
              </w:numPr>
              <w:suppressLineNumbers w:val="0"/>
              <w:spacing w:before="0" w:beforeAutospacing="0" w:after="0" w:afterAutospacing="0"/>
              <w:ind w:left="0" w:right="0"/>
              <w:jc w:val="left"/>
              <w:textAlignment w:val="center"/>
              <w:rPr>
                <w:rFonts w:hint="eastAsia"/>
                <w:lang w:val="en-US" w:eastAsia="zh-CN"/>
              </w:rPr>
            </w:pPr>
            <w:r>
              <w:rPr>
                <w:rFonts w:hint="eastAsia" w:ascii="黑体" w:hAnsi="黑体" w:eastAsia="黑体" w:cs="黑体"/>
                <w:bCs/>
                <w:kern w:val="2"/>
                <w:sz w:val="22"/>
                <w:szCs w:val="22"/>
                <w:lang w:val="en-US" w:eastAsia="zh-CN" w:bidi="ar-SA"/>
              </w:rPr>
              <w:t>充电底座：提供一机一电充电底座，同时充电一个主机和一块电池;医疗耐菌认证，可耐受大肠杆菌和金黄色葡萄球菌等;</w:t>
            </w:r>
          </w:p>
          <w:p w14:paraId="20D51C04">
            <w:pPr>
              <w:keepNext w:val="0"/>
              <w:keepLines w:val="0"/>
              <w:widowControl/>
              <w:numPr>
                <w:ilvl w:val="0"/>
                <w:numId w:val="11"/>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YY0505-2012和GB 9706.1-2007医用电气安全检测（需提供厂商盖章的检测证明文件）</w:t>
            </w:r>
          </w:p>
          <w:p w14:paraId="23D787B5">
            <w:pPr>
              <w:keepNext w:val="0"/>
              <w:keepLines w:val="0"/>
              <w:widowControl/>
              <w:numPr>
                <w:ilvl w:val="0"/>
                <w:numId w:val="11"/>
              </w:numPr>
              <w:suppressLineNumbers w:val="0"/>
              <w:spacing w:before="0" w:beforeAutospacing="0" w:after="0" w:afterAutospacing="0"/>
              <w:ind w:left="0" w:leftChars="0" w:right="0" w:rightChars="0"/>
              <w:jc w:val="left"/>
              <w:textAlignment w:val="center"/>
              <w:rPr>
                <w:rFonts w:hint="eastAsia" w:ascii="仿宋" w:hAnsi="仿宋" w:eastAsia="仿宋" w:cstheme="minorBidi"/>
                <w:bCs/>
                <w:kern w:val="2"/>
                <w:sz w:val="21"/>
                <w:szCs w:val="21"/>
                <w:lang w:val="en-US" w:eastAsia="zh-CN" w:bidi="ar-SA"/>
              </w:rPr>
            </w:pPr>
            <w:r>
              <w:rPr>
                <w:rFonts w:hint="eastAsia" w:ascii="黑体" w:hAnsi="黑体" w:eastAsia="黑体" w:cs="黑体"/>
                <w:bCs/>
                <w:kern w:val="2"/>
                <w:sz w:val="22"/>
                <w:szCs w:val="22"/>
                <w:lang w:val="en-US" w:eastAsia="zh-CN" w:bidi="ar-SA"/>
              </w:rPr>
              <w:t>质保期：3年。</w:t>
            </w:r>
          </w:p>
        </w:tc>
        <w:tc>
          <w:tcPr>
            <w:tcW w:w="785" w:type="dxa"/>
            <w:tcBorders>
              <w:top w:val="single" w:color="auto" w:sz="4" w:space="0"/>
              <w:left w:val="single" w:color="auto" w:sz="4" w:space="0"/>
              <w:bottom w:val="single" w:color="auto" w:sz="4" w:space="0"/>
              <w:right w:val="single" w:color="auto" w:sz="4" w:space="0"/>
            </w:tcBorders>
            <w:noWrap w:val="0"/>
            <w:vAlign w:val="top"/>
          </w:tcPr>
          <w:p w14:paraId="4C77C982">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09193B43">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4B562594">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738EE799">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2F97C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5" w:hRule="atLeast"/>
          <w:jc w:val="center"/>
        </w:trPr>
        <w:tc>
          <w:tcPr>
            <w:tcW w:w="684" w:type="dxa"/>
            <w:tcBorders>
              <w:top w:val="single" w:color="auto" w:sz="4" w:space="0"/>
              <w:left w:val="single" w:color="auto" w:sz="4" w:space="0"/>
              <w:bottom w:val="single" w:color="auto" w:sz="4" w:space="0"/>
              <w:right w:val="single" w:color="auto" w:sz="4" w:space="0"/>
            </w:tcBorders>
            <w:noWrap w:val="0"/>
            <w:vAlign w:val="center"/>
          </w:tcPr>
          <w:p w14:paraId="306A4A30">
            <w:pPr>
              <w:pStyle w:val="17"/>
              <w:widowControl/>
              <w:kinsoku w:val="0"/>
              <w:overflowPunct w:val="0"/>
              <w:spacing w:line="400" w:lineRule="exact"/>
              <w:rPr>
                <w:rFonts w:hint="default"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13</w:t>
            </w:r>
          </w:p>
        </w:tc>
        <w:tc>
          <w:tcPr>
            <w:tcW w:w="1179" w:type="dxa"/>
            <w:tcBorders>
              <w:top w:val="single" w:color="auto" w:sz="4" w:space="0"/>
              <w:left w:val="single" w:color="auto" w:sz="4" w:space="0"/>
              <w:bottom w:val="single" w:color="auto" w:sz="4" w:space="0"/>
              <w:right w:val="single" w:color="auto" w:sz="4" w:space="0"/>
            </w:tcBorders>
            <w:noWrap w:val="0"/>
            <w:vAlign w:val="top"/>
          </w:tcPr>
          <w:p w14:paraId="34A76133">
            <w:pPr>
              <w:keepNext w:val="0"/>
              <w:keepLines w:val="0"/>
              <w:widowControl/>
              <w:numPr>
                <w:ilvl w:val="0"/>
                <w:numId w:val="0"/>
              </w:numPr>
              <w:suppressLineNumbers w:val="0"/>
              <w:spacing w:before="0" w:beforeAutospacing="0" w:after="0" w:afterAutospacing="0"/>
              <w:ind w:left="0" w:leftChars="0" w:right="0" w:rightChars="0" w:firstLine="0" w:firstLineChars="0"/>
              <w:jc w:val="left"/>
              <w:textAlignment w:val="center"/>
              <w:rPr>
                <w:rFonts w:hint="eastAsia" w:ascii="仿宋" w:hAnsi="仿宋" w:eastAsia="仿宋" w:cstheme="minorBidi"/>
                <w:bCs/>
                <w:kern w:val="2"/>
                <w:sz w:val="21"/>
                <w:szCs w:val="21"/>
                <w:lang w:val="en-US" w:eastAsia="zh-CN" w:bidi="ar-SA"/>
              </w:rPr>
            </w:pPr>
            <w:r>
              <w:rPr>
                <w:rFonts w:hint="eastAsia" w:ascii="黑体" w:hAnsi="黑体" w:eastAsia="黑体" w:cs="黑体"/>
                <w:bCs/>
                <w:kern w:val="2"/>
                <w:sz w:val="22"/>
                <w:szCs w:val="22"/>
                <w:lang w:val="en-US" w:eastAsia="zh-CN" w:bidi="ar-SA"/>
              </w:rPr>
              <w:t>定位感应基站（</w:t>
            </w:r>
            <w:r>
              <w:rPr>
                <w:rFonts w:hint="eastAsia" w:ascii="黑体" w:hAnsi="黑体" w:eastAsia="黑体" w:cs="黑体"/>
                <w:bCs/>
                <w:kern w:val="2"/>
                <w:sz w:val="21"/>
                <w:szCs w:val="21"/>
                <w:lang w:val="en-US" w:eastAsia="zh-CN" w:bidi="ar-SA"/>
              </w:rPr>
              <w:t>7个</w:t>
            </w:r>
            <w:r>
              <w:rPr>
                <w:rFonts w:hint="eastAsia" w:ascii="黑体" w:hAnsi="黑体" w:eastAsia="黑体" w:cs="黑体"/>
                <w:bCs/>
                <w:kern w:val="2"/>
                <w:sz w:val="22"/>
                <w:szCs w:val="22"/>
                <w:lang w:val="en-US" w:eastAsia="zh-CN" w:bidi="ar-SA"/>
              </w:rPr>
              <w:t>）</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06765790">
            <w:pPr>
              <w:keepNext w:val="0"/>
              <w:keepLines w:val="0"/>
              <w:widowControl/>
              <w:numPr>
                <w:ilvl w:val="0"/>
                <w:numId w:val="0"/>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1.频段在 2.4GHz-2.485GHz 范围；</w:t>
            </w:r>
          </w:p>
          <w:p w14:paraId="240446C8">
            <w:pPr>
              <w:keepNext w:val="0"/>
              <w:keepLines w:val="0"/>
              <w:widowControl/>
              <w:numPr>
                <w:ilvl w:val="0"/>
                <w:numId w:val="0"/>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2</w:t>
            </w:r>
            <w:r>
              <w:rPr>
                <w:rFonts w:hint="eastAsia" w:ascii="黑体" w:hAnsi="黑体" w:eastAsia="黑体" w:cs="黑体"/>
                <w:bCs/>
                <w:kern w:val="2"/>
                <w:sz w:val="22"/>
                <w:szCs w:val="22"/>
                <w:highlight w:val="none"/>
                <w:lang w:val="en-US" w:eastAsia="zh-CN" w:bidi="ar-SA"/>
              </w:rPr>
              <w:t>.AOA定位；</w:t>
            </w:r>
          </w:p>
          <w:p w14:paraId="1583EA83">
            <w:pPr>
              <w:keepNext w:val="0"/>
              <w:keepLines w:val="0"/>
              <w:widowControl/>
              <w:numPr>
                <w:ilvl w:val="0"/>
                <w:numId w:val="0"/>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highlight w:val="none"/>
                <w:lang w:val="en-US" w:eastAsia="zh-CN" w:bidi="ar-SA"/>
              </w:rPr>
            </w:pPr>
            <w:r>
              <w:rPr>
                <w:rFonts w:hint="eastAsia" w:ascii="黑体" w:hAnsi="黑体" w:eastAsia="黑体" w:cs="黑体"/>
                <w:bCs/>
                <w:kern w:val="2"/>
                <w:sz w:val="22"/>
                <w:szCs w:val="22"/>
                <w:lang w:val="en-US" w:eastAsia="zh-CN" w:bidi="ar-SA"/>
              </w:rPr>
              <w:t>3</w:t>
            </w:r>
            <w:r>
              <w:rPr>
                <w:rFonts w:hint="eastAsia" w:ascii="黑体" w:hAnsi="黑体" w:eastAsia="黑体" w:cs="黑体"/>
                <w:bCs/>
                <w:kern w:val="2"/>
                <w:sz w:val="22"/>
                <w:szCs w:val="22"/>
                <w:highlight w:val="none"/>
                <w:lang w:val="en-US" w:eastAsia="zh-CN" w:bidi="ar-SA"/>
              </w:rPr>
              <w:t>.定位精度:无遮挡情况下，精度不低于30cm；</w:t>
            </w:r>
          </w:p>
          <w:p w14:paraId="046B9BCD">
            <w:pPr>
              <w:keepNext w:val="0"/>
              <w:keepLines w:val="0"/>
              <w:widowControl/>
              <w:numPr>
                <w:ilvl w:val="0"/>
                <w:numId w:val="0"/>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4.采用 Bluetooth 4.0 及以上协议标准；</w:t>
            </w:r>
          </w:p>
          <w:p w14:paraId="0DE7FE23">
            <w:pPr>
              <w:keepNext w:val="0"/>
              <w:keepLines w:val="0"/>
              <w:widowControl/>
              <w:numPr>
                <w:ilvl w:val="0"/>
                <w:numId w:val="0"/>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5.系统架构采用标准以太网架构，不使用额外时间同步设备；</w:t>
            </w:r>
          </w:p>
          <w:p w14:paraId="495D1142">
            <w:pPr>
              <w:keepNext w:val="0"/>
              <w:keepLines w:val="0"/>
              <w:widowControl/>
              <w:numPr>
                <w:ilvl w:val="0"/>
                <w:numId w:val="0"/>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6.唯-ID 标识；</w:t>
            </w:r>
          </w:p>
          <w:p w14:paraId="2C89777C">
            <w:pPr>
              <w:keepNext w:val="0"/>
              <w:keepLines w:val="0"/>
              <w:widowControl/>
              <w:numPr>
                <w:ilvl w:val="0"/>
                <w:numId w:val="0"/>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7.内置全向天线；</w:t>
            </w:r>
          </w:p>
          <w:p w14:paraId="2144AB3D">
            <w:pPr>
              <w:keepNext w:val="0"/>
              <w:keepLines w:val="0"/>
              <w:widowControl/>
              <w:numPr>
                <w:ilvl w:val="0"/>
                <w:numId w:val="0"/>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highlight w:val="none"/>
                <w:lang w:val="en-US" w:eastAsia="zh-CN" w:bidi="ar-SA"/>
              </w:rPr>
            </w:pPr>
            <w:r>
              <w:rPr>
                <w:rFonts w:hint="eastAsia" w:ascii="黑体" w:hAnsi="黑体" w:eastAsia="黑体" w:cs="黑体"/>
                <w:bCs/>
                <w:kern w:val="2"/>
                <w:sz w:val="22"/>
                <w:szCs w:val="22"/>
                <w:lang w:val="en-US" w:eastAsia="zh-CN" w:bidi="ar-SA"/>
              </w:rPr>
              <w:t>8.</w:t>
            </w:r>
            <w:r>
              <w:rPr>
                <w:rFonts w:hint="eastAsia" w:ascii="黑体" w:hAnsi="黑体" w:eastAsia="黑体" w:cs="黑体"/>
                <w:bCs/>
                <w:kern w:val="2"/>
                <w:sz w:val="22"/>
                <w:szCs w:val="22"/>
                <w:highlight w:val="none"/>
                <w:lang w:val="en-US" w:eastAsia="zh-CN" w:bidi="ar-SA"/>
              </w:rPr>
              <w:t>供电方式:POE；</w:t>
            </w:r>
          </w:p>
          <w:p w14:paraId="3A31B91C">
            <w:pPr>
              <w:keepNext w:val="0"/>
              <w:keepLines w:val="0"/>
              <w:widowControl/>
              <w:numPr>
                <w:ilvl w:val="0"/>
                <w:numId w:val="0"/>
              </w:numPr>
              <w:suppressLineNumbers w:val="0"/>
              <w:spacing w:before="0" w:beforeAutospacing="0" w:after="0" w:afterAutospacing="0"/>
              <w:ind w:left="0" w:leftChars="0" w:right="0" w:rightChars="0" w:firstLine="0" w:firstLineChars="0"/>
              <w:jc w:val="left"/>
              <w:textAlignment w:val="center"/>
              <w:rPr>
                <w:rFonts w:hint="eastAsia" w:ascii="仿宋" w:hAnsi="仿宋" w:eastAsia="仿宋" w:cstheme="minorBidi"/>
                <w:bCs/>
                <w:kern w:val="2"/>
                <w:sz w:val="21"/>
                <w:szCs w:val="21"/>
                <w:lang w:val="en-US" w:eastAsia="zh-CN" w:bidi="ar-SA"/>
              </w:rPr>
            </w:pPr>
            <w:r>
              <w:rPr>
                <w:rFonts w:hint="eastAsia" w:ascii="黑体" w:hAnsi="黑体" w:eastAsia="黑体" w:cs="黑体"/>
                <w:bCs/>
                <w:kern w:val="2"/>
                <w:sz w:val="22"/>
                <w:szCs w:val="22"/>
                <w:highlight w:val="none"/>
                <w:lang w:val="en-US" w:eastAsia="zh-CN" w:bidi="ar-SA"/>
              </w:rPr>
              <w:t>9.采用 OTA升级方式。</w:t>
            </w:r>
          </w:p>
        </w:tc>
        <w:tc>
          <w:tcPr>
            <w:tcW w:w="785" w:type="dxa"/>
            <w:tcBorders>
              <w:top w:val="single" w:color="auto" w:sz="4" w:space="0"/>
              <w:left w:val="single" w:color="auto" w:sz="4" w:space="0"/>
              <w:bottom w:val="single" w:color="auto" w:sz="4" w:space="0"/>
              <w:right w:val="single" w:color="auto" w:sz="4" w:space="0"/>
            </w:tcBorders>
            <w:noWrap w:val="0"/>
            <w:vAlign w:val="top"/>
          </w:tcPr>
          <w:p w14:paraId="5256925D">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1E8EA015">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232F78B5">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57CE971C">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15951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84" w:type="dxa"/>
            <w:tcBorders>
              <w:top w:val="single" w:color="auto" w:sz="4" w:space="0"/>
              <w:left w:val="single" w:color="auto" w:sz="4" w:space="0"/>
              <w:bottom w:val="single" w:color="auto" w:sz="4" w:space="0"/>
              <w:right w:val="single" w:color="auto" w:sz="4" w:space="0"/>
            </w:tcBorders>
            <w:noWrap w:val="0"/>
            <w:vAlign w:val="center"/>
          </w:tcPr>
          <w:p w14:paraId="2817FE9A">
            <w:pPr>
              <w:pStyle w:val="17"/>
              <w:widowControl/>
              <w:kinsoku w:val="0"/>
              <w:overflowPunct w:val="0"/>
              <w:spacing w:line="400" w:lineRule="exact"/>
              <w:rPr>
                <w:rFonts w:hint="default"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14</w:t>
            </w:r>
          </w:p>
        </w:tc>
        <w:tc>
          <w:tcPr>
            <w:tcW w:w="1179" w:type="dxa"/>
            <w:tcBorders>
              <w:top w:val="single" w:color="auto" w:sz="4" w:space="0"/>
              <w:left w:val="single" w:color="auto" w:sz="4" w:space="0"/>
              <w:bottom w:val="single" w:color="auto" w:sz="4" w:space="0"/>
              <w:right w:val="single" w:color="auto" w:sz="4" w:space="0"/>
            </w:tcBorders>
            <w:noWrap w:val="0"/>
            <w:vAlign w:val="top"/>
          </w:tcPr>
          <w:p w14:paraId="76458979">
            <w:pPr>
              <w:keepNext w:val="0"/>
              <w:keepLines w:val="0"/>
              <w:widowControl/>
              <w:numPr>
                <w:ilvl w:val="0"/>
                <w:numId w:val="0"/>
              </w:numPr>
              <w:suppressLineNumbers w:val="0"/>
              <w:spacing w:before="0" w:beforeAutospacing="0" w:after="0" w:afterAutospacing="0"/>
              <w:ind w:left="0" w:leftChars="0" w:right="0" w:rightChars="0" w:firstLine="0" w:firstLineChars="0"/>
              <w:jc w:val="left"/>
              <w:textAlignment w:val="center"/>
              <w:rPr>
                <w:rFonts w:hint="eastAsia" w:ascii="仿宋" w:hAnsi="仿宋" w:eastAsia="仿宋" w:cstheme="minorBidi"/>
                <w:bCs/>
                <w:kern w:val="2"/>
                <w:sz w:val="21"/>
                <w:szCs w:val="21"/>
                <w:lang w:val="en-US" w:eastAsia="zh-CN" w:bidi="ar-SA"/>
              </w:rPr>
            </w:pPr>
            <w:r>
              <w:rPr>
                <w:rFonts w:hint="eastAsia" w:ascii="黑体" w:hAnsi="黑体" w:eastAsia="黑体" w:cs="黑体"/>
                <w:bCs/>
                <w:kern w:val="2"/>
                <w:sz w:val="22"/>
                <w:szCs w:val="22"/>
                <w:lang w:val="en-US" w:eastAsia="zh-CN" w:bidi="ar-SA"/>
              </w:rPr>
              <w:t>患者腕带（</w:t>
            </w:r>
            <w:r>
              <w:rPr>
                <w:rFonts w:hint="eastAsia" w:ascii="黑体" w:hAnsi="黑体" w:eastAsia="黑体" w:cs="黑体"/>
                <w:bCs/>
                <w:kern w:val="2"/>
                <w:sz w:val="21"/>
                <w:szCs w:val="21"/>
                <w:lang w:val="en-US" w:eastAsia="zh-CN" w:bidi="ar-SA"/>
              </w:rPr>
              <w:t>10个</w:t>
            </w:r>
            <w:r>
              <w:rPr>
                <w:rFonts w:hint="eastAsia" w:ascii="黑体" w:hAnsi="黑体" w:eastAsia="黑体" w:cs="黑体"/>
                <w:bCs/>
                <w:kern w:val="2"/>
                <w:sz w:val="22"/>
                <w:szCs w:val="22"/>
                <w:lang w:val="en-US" w:eastAsia="zh-CN" w:bidi="ar-SA"/>
              </w:rPr>
              <w:t>）</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7A9CC06E">
            <w:pPr>
              <w:keepNext w:val="0"/>
              <w:keepLines w:val="0"/>
              <w:widowControl/>
              <w:numPr>
                <w:ilvl w:val="0"/>
                <w:numId w:val="12"/>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高精度定位，定位精度最高可达 0.1~1m；</w:t>
            </w:r>
          </w:p>
          <w:p w14:paraId="7D1DA6E6">
            <w:pPr>
              <w:keepNext w:val="0"/>
              <w:keepLines w:val="0"/>
              <w:widowControl/>
              <w:numPr>
                <w:ilvl w:val="0"/>
                <w:numId w:val="12"/>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亲肤村质腕带；</w:t>
            </w:r>
          </w:p>
          <w:p w14:paraId="78871B45">
            <w:pPr>
              <w:keepNext w:val="0"/>
              <w:keepLines w:val="0"/>
              <w:widowControl/>
              <w:numPr>
                <w:ilvl w:val="0"/>
                <w:numId w:val="12"/>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highlight w:val="none"/>
                <w:lang w:val="en-US" w:eastAsia="zh-CN" w:bidi="ar-SA"/>
              </w:rPr>
            </w:pPr>
            <w:r>
              <w:rPr>
                <w:rFonts w:hint="eastAsia" w:ascii="黑体" w:hAnsi="黑体" w:eastAsia="黑体" w:cs="黑体"/>
                <w:bCs/>
                <w:kern w:val="2"/>
                <w:sz w:val="22"/>
                <w:szCs w:val="22"/>
                <w:highlight w:val="none"/>
                <w:lang w:val="en-US" w:eastAsia="zh-CN" w:bidi="ar-SA"/>
              </w:rPr>
              <w:t>防水等级≥IP67，提供具有CNS 认证或CMA</w:t>
            </w:r>
            <w:bookmarkStart w:id="0" w:name="_GoBack"/>
            <w:bookmarkEnd w:id="0"/>
            <w:r>
              <w:rPr>
                <w:rFonts w:hint="eastAsia" w:ascii="黑体" w:hAnsi="黑体" w:eastAsia="黑体" w:cs="黑体"/>
                <w:bCs/>
                <w:kern w:val="2"/>
                <w:sz w:val="22"/>
                <w:szCs w:val="22"/>
                <w:highlight w:val="none"/>
                <w:lang w:val="en-US" w:eastAsia="zh-CN" w:bidi="ar-SA"/>
              </w:rPr>
              <w:t>认证的第三方检测报告；</w:t>
            </w:r>
          </w:p>
          <w:p w14:paraId="2E9FBFBF">
            <w:pPr>
              <w:keepNext w:val="0"/>
              <w:keepLines w:val="0"/>
              <w:widowControl/>
              <w:numPr>
                <w:ilvl w:val="0"/>
                <w:numId w:val="12"/>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应用频段在 2.4GHz-2.485GHz 范围；</w:t>
            </w:r>
          </w:p>
          <w:p w14:paraId="5BBE07F5">
            <w:pPr>
              <w:keepNext w:val="0"/>
              <w:keepLines w:val="0"/>
              <w:widowControl/>
              <w:numPr>
                <w:ilvl w:val="0"/>
                <w:numId w:val="12"/>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内置全向天线；</w:t>
            </w:r>
          </w:p>
          <w:p w14:paraId="623AD899">
            <w:pPr>
              <w:keepNext w:val="0"/>
              <w:keepLines w:val="0"/>
              <w:widowControl/>
              <w:numPr>
                <w:ilvl w:val="0"/>
                <w:numId w:val="12"/>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highlight w:val="none"/>
                <w:lang w:val="en-US" w:eastAsia="zh-CN" w:bidi="ar-SA"/>
              </w:rPr>
            </w:pPr>
            <w:r>
              <w:rPr>
                <w:rFonts w:hint="eastAsia" w:ascii="黑体" w:hAnsi="黑体" w:eastAsia="黑体" w:cs="黑体"/>
                <w:bCs/>
                <w:kern w:val="2"/>
                <w:sz w:val="22"/>
                <w:szCs w:val="22"/>
                <w:highlight w:val="none"/>
                <w:lang w:val="en-US" w:eastAsia="zh-CN" w:bidi="ar-SA"/>
              </w:rPr>
              <w:t>分米级测距精度；</w:t>
            </w:r>
          </w:p>
          <w:p w14:paraId="28E9391F">
            <w:pPr>
              <w:keepNext w:val="0"/>
              <w:keepLines w:val="0"/>
              <w:widowControl/>
              <w:numPr>
                <w:ilvl w:val="0"/>
                <w:numId w:val="12"/>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刷新率在 0.1-30Hz之间，且根据要求可进行设置；</w:t>
            </w:r>
          </w:p>
          <w:p w14:paraId="5C5372F2">
            <w:pPr>
              <w:keepNext w:val="0"/>
              <w:keepLines w:val="0"/>
              <w:widowControl/>
              <w:numPr>
                <w:ilvl w:val="0"/>
                <w:numId w:val="12"/>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highlight w:val="none"/>
                <w:lang w:val="en-US" w:eastAsia="zh-CN" w:bidi="ar-SA"/>
              </w:rPr>
            </w:pPr>
            <w:r>
              <w:rPr>
                <w:rFonts w:hint="eastAsia" w:ascii="黑体" w:hAnsi="黑体" w:eastAsia="黑体" w:cs="黑体"/>
                <w:bCs/>
                <w:kern w:val="2"/>
                <w:sz w:val="22"/>
                <w:szCs w:val="22"/>
                <w:highlight w:val="none"/>
                <w:lang w:val="en-US" w:eastAsia="zh-CN" w:bidi="ar-SA"/>
              </w:rPr>
              <w:t>采用 OTA升级方式；</w:t>
            </w:r>
          </w:p>
          <w:p w14:paraId="502769AE">
            <w:pPr>
              <w:keepNext w:val="0"/>
              <w:keepLines w:val="0"/>
              <w:widowControl/>
              <w:numPr>
                <w:ilvl w:val="0"/>
                <w:numId w:val="12"/>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可固化 ID；</w:t>
            </w:r>
          </w:p>
          <w:p w14:paraId="29B584BA">
            <w:pPr>
              <w:keepNext w:val="0"/>
              <w:keepLines w:val="0"/>
              <w:widowControl/>
              <w:numPr>
                <w:ilvl w:val="0"/>
                <w:numId w:val="12"/>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具有光亮闪烁/振动/蜂鸣多种状态指示；</w:t>
            </w:r>
          </w:p>
          <w:p w14:paraId="365CCCCE">
            <w:pPr>
              <w:keepNext w:val="0"/>
              <w:keepLines w:val="0"/>
              <w:widowControl/>
              <w:numPr>
                <w:ilvl w:val="0"/>
                <w:numId w:val="12"/>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能够提供sos 按键检测/电里检测等状态监测；</w:t>
            </w:r>
          </w:p>
          <w:p w14:paraId="46B0CC1C">
            <w:pPr>
              <w:keepNext w:val="0"/>
              <w:keepLines w:val="0"/>
              <w:widowControl/>
              <w:numPr>
                <w:ilvl w:val="0"/>
                <w:numId w:val="12"/>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能够进行sos 报警/电量报警等状态报警；</w:t>
            </w:r>
          </w:p>
          <w:p w14:paraId="7BD90189">
            <w:pPr>
              <w:keepNext w:val="0"/>
              <w:keepLines w:val="0"/>
              <w:widowControl/>
              <w:numPr>
                <w:ilvl w:val="0"/>
                <w:numId w:val="12"/>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支持自带充电设备；</w:t>
            </w:r>
          </w:p>
          <w:p w14:paraId="015C3F23">
            <w:pPr>
              <w:keepNext w:val="0"/>
              <w:keepLines w:val="0"/>
              <w:widowControl/>
              <w:numPr>
                <w:ilvl w:val="0"/>
                <w:numId w:val="12"/>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不低于4个月续航时间；</w:t>
            </w:r>
          </w:p>
          <w:p w14:paraId="67E83EA3">
            <w:pPr>
              <w:keepNext w:val="0"/>
              <w:keepLines w:val="0"/>
              <w:widowControl/>
              <w:numPr>
                <w:ilvl w:val="0"/>
                <w:numId w:val="12"/>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电池采用可充电锂电池，电里容量不低于600mgAn；</w:t>
            </w:r>
          </w:p>
          <w:p w14:paraId="4DC0BEC2">
            <w:pPr>
              <w:keepNext w:val="0"/>
              <w:keepLines w:val="0"/>
              <w:widowControl/>
              <w:numPr>
                <w:ilvl w:val="0"/>
                <w:numId w:val="12"/>
              </w:numPr>
              <w:suppressLineNumbers w:val="0"/>
              <w:spacing w:before="0" w:beforeAutospacing="0" w:after="0" w:afterAutospacing="0"/>
              <w:ind w:left="0" w:right="0"/>
              <w:jc w:val="left"/>
              <w:textAlignment w:val="center"/>
              <w:rPr>
                <w:rFonts w:hint="eastAsia" w:ascii="黑体" w:hAnsi="黑体" w:eastAsia="黑体" w:cs="黑体"/>
                <w:bCs/>
                <w:kern w:val="2"/>
                <w:sz w:val="22"/>
                <w:szCs w:val="22"/>
                <w:lang w:val="en-US" w:eastAsia="zh-CN" w:bidi="ar-SA"/>
              </w:rPr>
            </w:pPr>
            <w:r>
              <w:rPr>
                <w:rFonts w:hint="eastAsia" w:ascii="黑体" w:hAnsi="黑体" w:eastAsia="黑体" w:cs="黑体"/>
                <w:bCs/>
                <w:kern w:val="2"/>
                <w:sz w:val="22"/>
                <w:szCs w:val="22"/>
                <w:lang w:val="en-US" w:eastAsia="zh-CN" w:bidi="ar-SA"/>
              </w:rPr>
              <w:t>要求不低于 500 次充电次数；</w:t>
            </w:r>
          </w:p>
          <w:p w14:paraId="6726D34A">
            <w:pPr>
              <w:keepNext w:val="0"/>
              <w:keepLines w:val="0"/>
              <w:widowControl/>
              <w:numPr>
                <w:ilvl w:val="0"/>
                <w:numId w:val="12"/>
              </w:numPr>
              <w:suppressLineNumbers w:val="0"/>
              <w:spacing w:before="0" w:beforeAutospacing="0" w:after="0" w:afterAutospacing="0"/>
              <w:ind w:left="0" w:leftChars="0" w:right="0" w:rightChars="0"/>
              <w:jc w:val="left"/>
              <w:textAlignment w:val="center"/>
              <w:rPr>
                <w:rFonts w:hint="eastAsia" w:ascii="仿宋" w:hAnsi="仿宋" w:eastAsia="仿宋" w:cstheme="minorBidi"/>
                <w:bCs/>
                <w:kern w:val="2"/>
                <w:sz w:val="21"/>
                <w:szCs w:val="21"/>
                <w:lang w:val="en-US" w:eastAsia="zh-CN" w:bidi="ar-SA"/>
              </w:rPr>
            </w:pPr>
            <w:r>
              <w:rPr>
                <w:rFonts w:hint="eastAsia" w:ascii="黑体" w:hAnsi="黑体" w:eastAsia="黑体" w:cs="黑体"/>
                <w:bCs/>
                <w:kern w:val="2"/>
                <w:sz w:val="22"/>
                <w:szCs w:val="22"/>
                <w:lang w:val="en-US" w:eastAsia="zh-CN" w:bidi="ar-SA"/>
              </w:rPr>
              <w:t>支持快速发卡。支持快速发卡。</w:t>
            </w:r>
          </w:p>
        </w:tc>
        <w:tc>
          <w:tcPr>
            <w:tcW w:w="785" w:type="dxa"/>
            <w:tcBorders>
              <w:top w:val="single" w:color="auto" w:sz="4" w:space="0"/>
              <w:left w:val="single" w:color="auto" w:sz="4" w:space="0"/>
              <w:bottom w:val="single" w:color="auto" w:sz="4" w:space="0"/>
              <w:right w:val="single" w:color="auto" w:sz="4" w:space="0"/>
            </w:tcBorders>
            <w:noWrap w:val="0"/>
            <w:vAlign w:val="top"/>
          </w:tcPr>
          <w:p w14:paraId="3190F99A">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1414EACF">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2DD470ED">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142987BA">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bl>
    <w:p w14:paraId="3EFCBB8A">
      <w:pPr>
        <w:spacing w:line="280" w:lineRule="exact"/>
        <w:rPr>
          <w:rFonts w:hint="default" w:ascii="仿宋" w:hAnsi="仿宋" w:eastAsia="仿宋"/>
          <w:b/>
          <w:bCs/>
          <w:szCs w:val="21"/>
          <w:lang w:val="en-US" w:eastAsia="zh-CN"/>
        </w:rPr>
      </w:pPr>
      <w:r>
        <w:rPr>
          <w:rFonts w:hint="eastAsia" w:ascii="仿宋" w:hAnsi="仿宋" w:eastAsia="仿宋"/>
          <w:b/>
          <w:bCs/>
          <w:szCs w:val="21"/>
          <w:lang w:val="en-US" w:eastAsia="zh-CN"/>
        </w:rPr>
        <w:t>注：报价包括总价及分项报价表</w:t>
      </w:r>
    </w:p>
    <w:sectPr>
      <w:footerReference r:id="rId3" w:type="default"/>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2194564"/>
      <w:docPartObj>
        <w:docPartGallery w:val="autotext"/>
      </w:docPartObj>
    </w:sdtPr>
    <w:sdtContent>
      <w:sdt>
        <w:sdtPr>
          <w:id w:val="171357217"/>
          <w:docPartObj>
            <w:docPartGallery w:val="autotext"/>
          </w:docPartObj>
        </w:sdtPr>
        <w:sdtContent>
          <w:p w14:paraId="2A08810D">
            <w:pPr>
              <w:pStyle w:val="8"/>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1</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1</w:t>
            </w:r>
            <w:r>
              <w:rPr>
                <w:b/>
                <w:sz w:val="24"/>
                <w:szCs w:val="24"/>
              </w:rPr>
              <w:fldChar w:fldCharType="end"/>
            </w:r>
          </w:p>
        </w:sdtContent>
      </w:sdt>
    </w:sdtContent>
  </w:sdt>
  <w:p w14:paraId="5AC0D8FB">
    <w:pPr>
      <w:pStyle w:val="8"/>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14BA83"/>
    <w:multiLevelType w:val="singleLevel"/>
    <w:tmpl w:val="8214BA83"/>
    <w:lvl w:ilvl="0" w:tentative="0">
      <w:start w:val="1"/>
      <w:numFmt w:val="decimal"/>
      <w:lvlText w:val="%1."/>
      <w:lvlJc w:val="left"/>
      <w:pPr>
        <w:tabs>
          <w:tab w:val="left" w:pos="312"/>
        </w:tabs>
      </w:pPr>
    </w:lvl>
  </w:abstractNum>
  <w:abstractNum w:abstractNumId="1">
    <w:nsid w:val="A1D7A441"/>
    <w:multiLevelType w:val="singleLevel"/>
    <w:tmpl w:val="A1D7A441"/>
    <w:lvl w:ilvl="0" w:tentative="0">
      <w:start w:val="1"/>
      <w:numFmt w:val="decimal"/>
      <w:lvlText w:val="%1."/>
      <w:lvlJc w:val="left"/>
      <w:pPr>
        <w:tabs>
          <w:tab w:val="left" w:pos="312"/>
        </w:tabs>
      </w:pPr>
    </w:lvl>
  </w:abstractNum>
  <w:abstractNum w:abstractNumId="2">
    <w:nsid w:val="AF067283"/>
    <w:multiLevelType w:val="singleLevel"/>
    <w:tmpl w:val="AF067283"/>
    <w:lvl w:ilvl="0" w:tentative="0">
      <w:start w:val="1"/>
      <w:numFmt w:val="decimal"/>
      <w:lvlText w:val="%1."/>
      <w:lvlJc w:val="left"/>
      <w:pPr>
        <w:tabs>
          <w:tab w:val="left" w:pos="312"/>
        </w:tabs>
      </w:pPr>
    </w:lvl>
  </w:abstractNum>
  <w:abstractNum w:abstractNumId="3">
    <w:nsid w:val="F222E05A"/>
    <w:multiLevelType w:val="singleLevel"/>
    <w:tmpl w:val="F222E05A"/>
    <w:lvl w:ilvl="0" w:tentative="0">
      <w:start w:val="1"/>
      <w:numFmt w:val="decimal"/>
      <w:lvlText w:val="%1."/>
      <w:lvlJc w:val="left"/>
      <w:pPr>
        <w:tabs>
          <w:tab w:val="left" w:pos="312"/>
        </w:tabs>
      </w:pPr>
    </w:lvl>
  </w:abstractNum>
  <w:abstractNum w:abstractNumId="4">
    <w:nsid w:val="00000009"/>
    <w:multiLevelType w:val="multilevel"/>
    <w:tmpl w:val="00000009"/>
    <w:lvl w:ilvl="0" w:tentative="0">
      <w:start w:val="9"/>
      <w:numFmt w:val="decimal"/>
      <w:pStyle w:val="15"/>
      <w:suff w:val="space"/>
      <w:lvlText w:val="%1."/>
      <w:lvlJc w:val="left"/>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03A63129"/>
    <w:multiLevelType w:val="singleLevel"/>
    <w:tmpl w:val="03A63129"/>
    <w:lvl w:ilvl="0" w:tentative="0">
      <w:start w:val="1"/>
      <w:numFmt w:val="decimal"/>
      <w:lvlText w:val="%1."/>
      <w:lvlJc w:val="left"/>
      <w:pPr>
        <w:tabs>
          <w:tab w:val="left" w:pos="312"/>
        </w:tabs>
      </w:pPr>
    </w:lvl>
  </w:abstractNum>
  <w:abstractNum w:abstractNumId="6">
    <w:nsid w:val="0A01C1BB"/>
    <w:multiLevelType w:val="singleLevel"/>
    <w:tmpl w:val="0A01C1BB"/>
    <w:lvl w:ilvl="0" w:tentative="0">
      <w:start w:val="1"/>
      <w:numFmt w:val="decimal"/>
      <w:lvlText w:val="%1."/>
      <w:lvlJc w:val="left"/>
      <w:pPr>
        <w:tabs>
          <w:tab w:val="left" w:pos="312"/>
        </w:tabs>
      </w:pPr>
    </w:lvl>
  </w:abstractNum>
  <w:abstractNum w:abstractNumId="7">
    <w:nsid w:val="16A3D118"/>
    <w:multiLevelType w:val="singleLevel"/>
    <w:tmpl w:val="16A3D118"/>
    <w:lvl w:ilvl="0" w:tentative="0">
      <w:start w:val="1"/>
      <w:numFmt w:val="decimal"/>
      <w:lvlText w:val="%1."/>
      <w:lvlJc w:val="left"/>
      <w:pPr>
        <w:tabs>
          <w:tab w:val="left" w:pos="312"/>
        </w:tabs>
      </w:pPr>
    </w:lvl>
  </w:abstractNum>
  <w:abstractNum w:abstractNumId="8">
    <w:nsid w:val="60C1A69B"/>
    <w:multiLevelType w:val="singleLevel"/>
    <w:tmpl w:val="60C1A69B"/>
    <w:lvl w:ilvl="0" w:tentative="0">
      <w:start w:val="1"/>
      <w:numFmt w:val="decimal"/>
      <w:lvlText w:val="%1."/>
      <w:lvlJc w:val="left"/>
      <w:pPr>
        <w:tabs>
          <w:tab w:val="left" w:pos="312"/>
        </w:tabs>
      </w:pPr>
    </w:lvl>
  </w:abstractNum>
  <w:abstractNum w:abstractNumId="9">
    <w:nsid w:val="6949A11C"/>
    <w:multiLevelType w:val="singleLevel"/>
    <w:tmpl w:val="6949A11C"/>
    <w:lvl w:ilvl="0" w:tentative="0">
      <w:start w:val="1"/>
      <w:numFmt w:val="decimal"/>
      <w:lvlText w:val="%1."/>
      <w:lvlJc w:val="left"/>
      <w:pPr>
        <w:tabs>
          <w:tab w:val="left" w:pos="312"/>
        </w:tabs>
      </w:pPr>
    </w:lvl>
  </w:abstractNum>
  <w:abstractNum w:abstractNumId="10">
    <w:nsid w:val="711C0F3B"/>
    <w:multiLevelType w:val="singleLevel"/>
    <w:tmpl w:val="711C0F3B"/>
    <w:lvl w:ilvl="0" w:tentative="0">
      <w:start w:val="1"/>
      <w:numFmt w:val="decimal"/>
      <w:lvlText w:val="%1."/>
      <w:lvlJc w:val="left"/>
      <w:pPr>
        <w:tabs>
          <w:tab w:val="left" w:pos="312"/>
        </w:tabs>
      </w:pPr>
    </w:lvl>
  </w:abstractNum>
  <w:abstractNum w:abstractNumId="11">
    <w:nsid w:val="721C8D6C"/>
    <w:multiLevelType w:val="singleLevel"/>
    <w:tmpl w:val="721C8D6C"/>
    <w:lvl w:ilvl="0" w:tentative="0">
      <w:start w:val="1"/>
      <w:numFmt w:val="decimal"/>
      <w:lvlText w:val="%1."/>
      <w:lvlJc w:val="left"/>
      <w:pPr>
        <w:tabs>
          <w:tab w:val="left" w:pos="312"/>
        </w:tabs>
      </w:pPr>
    </w:lvl>
  </w:abstractNum>
  <w:num w:numId="1">
    <w:abstractNumId w:val="4"/>
  </w:num>
  <w:num w:numId="2">
    <w:abstractNumId w:val="7"/>
  </w:num>
  <w:num w:numId="3">
    <w:abstractNumId w:val="2"/>
  </w:num>
  <w:num w:numId="4">
    <w:abstractNumId w:val="0"/>
  </w:num>
  <w:num w:numId="5">
    <w:abstractNumId w:val="3"/>
  </w:num>
  <w:num w:numId="6">
    <w:abstractNumId w:val="11"/>
  </w:num>
  <w:num w:numId="7">
    <w:abstractNumId w:val="9"/>
  </w:num>
  <w:num w:numId="8">
    <w:abstractNumId w:val="8"/>
  </w:num>
  <w:num w:numId="9">
    <w:abstractNumId w:val="6"/>
  </w:num>
  <w:num w:numId="10">
    <w:abstractNumId w:val="1"/>
  </w:num>
  <w:num w:numId="11">
    <w:abstractNumId w:val="10"/>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ODMwZWE0MjdkNmUyYzJlNjJmNTM0ODJjOTJiNjk2Y2IifQ=="/>
  </w:docVars>
  <w:rsids>
    <w:rsidRoot w:val="00424DB4"/>
    <w:rsid w:val="00001318"/>
    <w:rsid w:val="00002283"/>
    <w:rsid w:val="000050A7"/>
    <w:rsid w:val="000053EE"/>
    <w:rsid w:val="00010931"/>
    <w:rsid w:val="00011CA3"/>
    <w:rsid w:val="00023E48"/>
    <w:rsid w:val="00034183"/>
    <w:rsid w:val="00043348"/>
    <w:rsid w:val="0004370B"/>
    <w:rsid w:val="00043D0A"/>
    <w:rsid w:val="00053C66"/>
    <w:rsid w:val="00053F67"/>
    <w:rsid w:val="00055EBF"/>
    <w:rsid w:val="00056058"/>
    <w:rsid w:val="00061DAF"/>
    <w:rsid w:val="0006484E"/>
    <w:rsid w:val="000858E8"/>
    <w:rsid w:val="000867AB"/>
    <w:rsid w:val="000A24D6"/>
    <w:rsid w:val="000A3C7E"/>
    <w:rsid w:val="000C1110"/>
    <w:rsid w:val="000C7CFD"/>
    <w:rsid w:val="000D354B"/>
    <w:rsid w:val="000D514B"/>
    <w:rsid w:val="000D6B6A"/>
    <w:rsid w:val="000F40F9"/>
    <w:rsid w:val="000F729B"/>
    <w:rsid w:val="000F74F7"/>
    <w:rsid w:val="001018DA"/>
    <w:rsid w:val="00103C1B"/>
    <w:rsid w:val="00105146"/>
    <w:rsid w:val="001153A4"/>
    <w:rsid w:val="00116395"/>
    <w:rsid w:val="00120EB8"/>
    <w:rsid w:val="00124B21"/>
    <w:rsid w:val="00127487"/>
    <w:rsid w:val="00136812"/>
    <w:rsid w:val="00147F41"/>
    <w:rsid w:val="001548BF"/>
    <w:rsid w:val="00162A53"/>
    <w:rsid w:val="00165886"/>
    <w:rsid w:val="00165CBE"/>
    <w:rsid w:val="00165F93"/>
    <w:rsid w:val="0017321A"/>
    <w:rsid w:val="0018577B"/>
    <w:rsid w:val="00186D6A"/>
    <w:rsid w:val="00187F24"/>
    <w:rsid w:val="00193FF1"/>
    <w:rsid w:val="00196E0E"/>
    <w:rsid w:val="001A0031"/>
    <w:rsid w:val="001A657D"/>
    <w:rsid w:val="001B0660"/>
    <w:rsid w:val="001B24DD"/>
    <w:rsid w:val="001B56D9"/>
    <w:rsid w:val="001B6813"/>
    <w:rsid w:val="001D4FEB"/>
    <w:rsid w:val="001D54F8"/>
    <w:rsid w:val="001E2B39"/>
    <w:rsid w:val="001F1A74"/>
    <w:rsid w:val="001F2DD0"/>
    <w:rsid w:val="001F34DF"/>
    <w:rsid w:val="001F4EB8"/>
    <w:rsid w:val="001F6DDD"/>
    <w:rsid w:val="00201754"/>
    <w:rsid w:val="00213A9E"/>
    <w:rsid w:val="002160CC"/>
    <w:rsid w:val="002167A8"/>
    <w:rsid w:val="00220DFE"/>
    <w:rsid w:val="002220EC"/>
    <w:rsid w:val="002251AD"/>
    <w:rsid w:val="00226CF3"/>
    <w:rsid w:val="002451BD"/>
    <w:rsid w:val="002643E0"/>
    <w:rsid w:val="00273463"/>
    <w:rsid w:val="0027592C"/>
    <w:rsid w:val="00276C68"/>
    <w:rsid w:val="0028637D"/>
    <w:rsid w:val="00293E71"/>
    <w:rsid w:val="002A1DD3"/>
    <w:rsid w:val="002A7CA5"/>
    <w:rsid w:val="002B077D"/>
    <w:rsid w:val="002C5A78"/>
    <w:rsid w:val="002D3C54"/>
    <w:rsid w:val="002E5FE9"/>
    <w:rsid w:val="002F1DC9"/>
    <w:rsid w:val="002F4594"/>
    <w:rsid w:val="002F46AF"/>
    <w:rsid w:val="003035B7"/>
    <w:rsid w:val="00305A35"/>
    <w:rsid w:val="00307C82"/>
    <w:rsid w:val="0031412D"/>
    <w:rsid w:val="003231BF"/>
    <w:rsid w:val="00397F20"/>
    <w:rsid w:val="003A4ABD"/>
    <w:rsid w:val="003A4DFC"/>
    <w:rsid w:val="003B2393"/>
    <w:rsid w:val="003B5AB4"/>
    <w:rsid w:val="003D4C81"/>
    <w:rsid w:val="003D6E3F"/>
    <w:rsid w:val="003D7845"/>
    <w:rsid w:val="003E0078"/>
    <w:rsid w:val="003E0AE6"/>
    <w:rsid w:val="003E0D05"/>
    <w:rsid w:val="003F1A9D"/>
    <w:rsid w:val="00407847"/>
    <w:rsid w:val="00411CFD"/>
    <w:rsid w:val="00424DB4"/>
    <w:rsid w:val="00445BF7"/>
    <w:rsid w:val="00457EBA"/>
    <w:rsid w:val="004767E6"/>
    <w:rsid w:val="00481DEA"/>
    <w:rsid w:val="004842A3"/>
    <w:rsid w:val="00485FE3"/>
    <w:rsid w:val="004A0993"/>
    <w:rsid w:val="004A5436"/>
    <w:rsid w:val="004B1150"/>
    <w:rsid w:val="004B3164"/>
    <w:rsid w:val="004B3DBC"/>
    <w:rsid w:val="004B5CAC"/>
    <w:rsid w:val="004C1CF2"/>
    <w:rsid w:val="004C4760"/>
    <w:rsid w:val="004C6035"/>
    <w:rsid w:val="004D5C73"/>
    <w:rsid w:val="004E1B33"/>
    <w:rsid w:val="004E2A85"/>
    <w:rsid w:val="00511A86"/>
    <w:rsid w:val="00514522"/>
    <w:rsid w:val="005145B6"/>
    <w:rsid w:val="005155A7"/>
    <w:rsid w:val="005158E8"/>
    <w:rsid w:val="00523A9D"/>
    <w:rsid w:val="0052437C"/>
    <w:rsid w:val="0052798A"/>
    <w:rsid w:val="00545065"/>
    <w:rsid w:val="005612E4"/>
    <w:rsid w:val="00566A3D"/>
    <w:rsid w:val="00575D2D"/>
    <w:rsid w:val="00577E01"/>
    <w:rsid w:val="0058339A"/>
    <w:rsid w:val="00596FF5"/>
    <w:rsid w:val="00597228"/>
    <w:rsid w:val="0059737C"/>
    <w:rsid w:val="005A36BC"/>
    <w:rsid w:val="005A5561"/>
    <w:rsid w:val="005B4E7B"/>
    <w:rsid w:val="005B4F92"/>
    <w:rsid w:val="005D47E2"/>
    <w:rsid w:val="005F0ECD"/>
    <w:rsid w:val="00611588"/>
    <w:rsid w:val="006149F3"/>
    <w:rsid w:val="00630F0B"/>
    <w:rsid w:val="006315D9"/>
    <w:rsid w:val="006425D3"/>
    <w:rsid w:val="00644477"/>
    <w:rsid w:val="00646EFF"/>
    <w:rsid w:val="006472D6"/>
    <w:rsid w:val="0065390A"/>
    <w:rsid w:val="00655DD8"/>
    <w:rsid w:val="0065619A"/>
    <w:rsid w:val="00656F9B"/>
    <w:rsid w:val="00674E19"/>
    <w:rsid w:val="006751A9"/>
    <w:rsid w:val="006A1E6F"/>
    <w:rsid w:val="006A2E83"/>
    <w:rsid w:val="006B00DE"/>
    <w:rsid w:val="006B5D2A"/>
    <w:rsid w:val="006D1CF2"/>
    <w:rsid w:val="006D2949"/>
    <w:rsid w:val="006D5CA6"/>
    <w:rsid w:val="006E3CE4"/>
    <w:rsid w:val="007011B1"/>
    <w:rsid w:val="00703D37"/>
    <w:rsid w:val="00706052"/>
    <w:rsid w:val="007074BD"/>
    <w:rsid w:val="00715BE8"/>
    <w:rsid w:val="0072140C"/>
    <w:rsid w:val="00745B6A"/>
    <w:rsid w:val="007500BF"/>
    <w:rsid w:val="0075154A"/>
    <w:rsid w:val="00757F42"/>
    <w:rsid w:val="00770BFB"/>
    <w:rsid w:val="00772C38"/>
    <w:rsid w:val="00776FB7"/>
    <w:rsid w:val="0077720D"/>
    <w:rsid w:val="0078294C"/>
    <w:rsid w:val="0078396A"/>
    <w:rsid w:val="00783988"/>
    <w:rsid w:val="00791ED1"/>
    <w:rsid w:val="00792F55"/>
    <w:rsid w:val="00796F23"/>
    <w:rsid w:val="007A2200"/>
    <w:rsid w:val="007B2BF5"/>
    <w:rsid w:val="007B44F5"/>
    <w:rsid w:val="007C0F20"/>
    <w:rsid w:val="007C64E2"/>
    <w:rsid w:val="007C77D2"/>
    <w:rsid w:val="007D128C"/>
    <w:rsid w:val="007F1FF3"/>
    <w:rsid w:val="007F72EE"/>
    <w:rsid w:val="0080420A"/>
    <w:rsid w:val="008056D0"/>
    <w:rsid w:val="00811886"/>
    <w:rsid w:val="00824B71"/>
    <w:rsid w:val="00847753"/>
    <w:rsid w:val="00847A3B"/>
    <w:rsid w:val="0085631E"/>
    <w:rsid w:val="00864B32"/>
    <w:rsid w:val="00865BB3"/>
    <w:rsid w:val="00874654"/>
    <w:rsid w:val="00881362"/>
    <w:rsid w:val="00882830"/>
    <w:rsid w:val="00890A8A"/>
    <w:rsid w:val="0089602A"/>
    <w:rsid w:val="008A6728"/>
    <w:rsid w:val="008B0511"/>
    <w:rsid w:val="008B5062"/>
    <w:rsid w:val="008D74CA"/>
    <w:rsid w:val="008F3959"/>
    <w:rsid w:val="008F4405"/>
    <w:rsid w:val="00903E1D"/>
    <w:rsid w:val="00905854"/>
    <w:rsid w:val="0091705B"/>
    <w:rsid w:val="00917314"/>
    <w:rsid w:val="00917684"/>
    <w:rsid w:val="00927E50"/>
    <w:rsid w:val="00932055"/>
    <w:rsid w:val="00934412"/>
    <w:rsid w:val="0094514A"/>
    <w:rsid w:val="0097447A"/>
    <w:rsid w:val="0098543F"/>
    <w:rsid w:val="009865B1"/>
    <w:rsid w:val="00986D55"/>
    <w:rsid w:val="00993FE8"/>
    <w:rsid w:val="00996932"/>
    <w:rsid w:val="009B0355"/>
    <w:rsid w:val="009B36A3"/>
    <w:rsid w:val="009B70B7"/>
    <w:rsid w:val="009E2359"/>
    <w:rsid w:val="009E4466"/>
    <w:rsid w:val="00A024EE"/>
    <w:rsid w:val="00A069B9"/>
    <w:rsid w:val="00A11A36"/>
    <w:rsid w:val="00A46863"/>
    <w:rsid w:val="00A528E9"/>
    <w:rsid w:val="00A669AF"/>
    <w:rsid w:val="00A7303F"/>
    <w:rsid w:val="00A83FE7"/>
    <w:rsid w:val="00A9205C"/>
    <w:rsid w:val="00A92F2C"/>
    <w:rsid w:val="00A9357B"/>
    <w:rsid w:val="00A9700C"/>
    <w:rsid w:val="00AA0C5C"/>
    <w:rsid w:val="00AB75E3"/>
    <w:rsid w:val="00AC18B2"/>
    <w:rsid w:val="00AD049E"/>
    <w:rsid w:val="00AD5396"/>
    <w:rsid w:val="00AD7B1E"/>
    <w:rsid w:val="00AE264C"/>
    <w:rsid w:val="00AE65B2"/>
    <w:rsid w:val="00AF1D3E"/>
    <w:rsid w:val="00B110AE"/>
    <w:rsid w:val="00B117A1"/>
    <w:rsid w:val="00B21A8C"/>
    <w:rsid w:val="00B2560D"/>
    <w:rsid w:val="00B25C0A"/>
    <w:rsid w:val="00B41383"/>
    <w:rsid w:val="00B42CFE"/>
    <w:rsid w:val="00B43273"/>
    <w:rsid w:val="00B43844"/>
    <w:rsid w:val="00B4445A"/>
    <w:rsid w:val="00B4619C"/>
    <w:rsid w:val="00B51795"/>
    <w:rsid w:val="00B51940"/>
    <w:rsid w:val="00B62D53"/>
    <w:rsid w:val="00B73A12"/>
    <w:rsid w:val="00B90A21"/>
    <w:rsid w:val="00BA2652"/>
    <w:rsid w:val="00BA62D7"/>
    <w:rsid w:val="00BB301F"/>
    <w:rsid w:val="00BC7640"/>
    <w:rsid w:val="00BD03D9"/>
    <w:rsid w:val="00BD5665"/>
    <w:rsid w:val="00BD64AD"/>
    <w:rsid w:val="00BF09B8"/>
    <w:rsid w:val="00BF0DCA"/>
    <w:rsid w:val="00BF2461"/>
    <w:rsid w:val="00BF7063"/>
    <w:rsid w:val="00C015AC"/>
    <w:rsid w:val="00C02E61"/>
    <w:rsid w:val="00C0314C"/>
    <w:rsid w:val="00C1190C"/>
    <w:rsid w:val="00C12783"/>
    <w:rsid w:val="00C2617D"/>
    <w:rsid w:val="00C3081E"/>
    <w:rsid w:val="00C33276"/>
    <w:rsid w:val="00C431F3"/>
    <w:rsid w:val="00C46D12"/>
    <w:rsid w:val="00C536E0"/>
    <w:rsid w:val="00C53BAD"/>
    <w:rsid w:val="00C5766B"/>
    <w:rsid w:val="00C635B8"/>
    <w:rsid w:val="00C6413C"/>
    <w:rsid w:val="00C76482"/>
    <w:rsid w:val="00C91F49"/>
    <w:rsid w:val="00C93FD2"/>
    <w:rsid w:val="00C942E1"/>
    <w:rsid w:val="00CA11F9"/>
    <w:rsid w:val="00CA4609"/>
    <w:rsid w:val="00CC277B"/>
    <w:rsid w:val="00CE0038"/>
    <w:rsid w:val="00CE7DE7"/>
    <w:rsid w:val="00CF101E"/>
    <w:rsid w:val="00CF5F8A"/>
    <w:rsid w:val="00CF79D1"/>
    <w:rsid w:val="00D0249F"/>
    <w:rsid w:val="00D122B3"/>
    <w:rsid w:val="00D27B75"/>
    <w:rsid w:val="00D27C90"/>
    <w:rsid w:val="00D303AF"/>
    <w:rsid w:val="00D43C95"/>
    <w:rsid w:val="00D51D39"/>
    <w:rsid w:val="00D535B5"/>
    <w:rsid w:val="00D53FD5"/>
    <w:rsid w:val="00D668DA"/>
    <w:rsid w:val="00D7257F"/>
    <w:rsid w:val="00D80CC2"/>
    <w:rsid w:val="00DA4FE2"/>
    <w:rsid w:val="00DB09D0"/>
    <w:rsid w:val="00DB3885"/>
    <w:rsid w:val="00DD5B7C"/>
    <w:rsid w:val="00DD79ED"/>
    <w:rsid w:val="00DF3FEC"/>
    <w:rsid w:val="00E0491B"/>
    <w:rsid w:val="00E04C87"/>
    <w:rsid w:val="00E12663"/>
    <w:rsid w:val="00E20590"/>
    <w:rsid w:val="00E2199E"/>
    <w:rsid w:val="00E26EB1"/>
    <w:rsid w:val="00E27736"/>
    <w:rsid w:val="00E3091F"/>
    <w:rsid w:val="00E35D35"/>
    <w:rsid w:val="00E42660"/>
    <w:rsid w:val="00E44632"/>
    <w:rsid w:val="00E5252D"/>
    <w:rsid w:val="00E53B0F"/>
    <w:rsid w:val="00E60E8E"/>
    <w:rsid w:val="00E62C04"/>
    <w:rsid w:val="00E713B4"/>
    <w:rsid w:val="00E762F5"/>
    <w:rsid w:val="00E77981"/>
    <w:rsid w:val="00E83046"/>
    <w:rsid w:val="00E86D0C"/>
    <w:rsid w:val="00EA6D84"/>
    <w:rsid w:val="00EB5340"/>
    <w:rsid w:val="00EB7E92"/>
    <w:rsid w:val="00EC0382"/>
    <w:rsid w:val="00EC45C7"/>
    <w:rsid w:val="00EC61EC"/>
    <w:rsid w:val="00EC6457"/>
    <w:rsid w:val="00ED4994"/>
    <w:rsid w:val="00ED6ABB"/>
    <w:rsid w:val="00EE67EB"/>
    <w:rsid w:val="00EE7835"/>
    <w:rsid w:val="00EF2765"/>
    <w:rsid w:val="00EF2F2B"/>
    <w:rsid w:val="00EF39C8"/>
    <w:rsid w:val="00EF6BE6"/>
    <w:rsid w:val="00F00F2B"/>
    <w:rsid w:val="00F154E9"/>
    <w:rsid w:val="00F20717"/>
    <w:rsid w:val="00F26589"/>
    <w:rsid w:val="00F37FC0"/>
    <w:rsid w:val="00F63443"/>
    <w:rsid w:val="00F65364"/>
    <w:rsid w:val="00F7717C"/>
    <w:rsid w:val="00F86F94"/>
    <w:rsid w:val="00F9157F"/>
    <w:rsid w:val="00FA2E94"/>
    <w:rsid w:val="00FB550C"/>
    <w:rsid w:val="00FB5CEF"/>
    <w:rsid w:val="00FC25F4"/>
    <w:rsid w:val="00FD192E"/>
    <w:rsid w:val="00FD1B59"/>
    <w:rsid w:val="00FE5B5E"/>
    <w:rsid w:val="00FE5E56"/>
    <w:rsid w:val="00FF5778"/>
    <w:rsid w:val="015121CF"/>
    <w:rsid w:val="0158342B"/>
    <w:rsid w:val="017E0025"/>
    <w:rsid w:val="018A4310"/>
    <w:rsid w:val="01D30D51"/>
    <w:rsid w:val="026E2AF7"/>
    <w:rsid w:val="028C3AAC"/>
    <w:rsid w:val="02FD2A99"/>
    <w:rsid w:val="03162918"/>
    <w:rsid w:val="03250779"/>
    <w:rsid w:val="032A2E76"/>
    <w:rsid w:val="032F53C7"/>
    <w:rsid w:val="03C97D13"/>
    <w:rsid w:val="03D80B70"/>
    <w:rsid w:val="046F708F"/>
    <w:rsid w:val="047A164B"/>
    <w:rsid w:val="047C479E"/>
    <w:rsid w:val="04BE4ABB"/>
    <w:rsid w:val="04DC0C65"/>
    <w:rsid w:val="05144CD4"/>
    <w:rsid w:val="056B1321"/>
    <w:rsid w:val="058F7ED5"/>
    <w:rsid w:val="05A625A8"/>
    <w:rsid w:val="05B61689"/>
    <w:rsid w:val="064A2CE4"/>
    <w:rsid w:val="06A72333"/>
    <w:rsid w:val="06F66A9B"/>
    <w:rsid w:val="079C369B"/>
    <w:rsid w:val="07AF1FB4"/>
    <w:rsid w:val="07D72EEC"/>
    <w:rsid w:val="080C3738"/>
    <w:rsid w:val="081F2DB2"/>
    <w:rsid w:val="086253B7"/>
    <w:rsid w:val="086504F8"/>
    <w:rsid w:val="091329AD"/>
    <w:rsid w:val="09135C29"/>
    <w:rsid w:val="0A1730E8"/>
    <w:rsid w:val="0A203C23"/>
    <w:rsid w:val="0AB32F3C"/>
    <w:rsid w:val="0AC56166"/>
    <w:rsid w:val="0AD93162"/>
    <w:rsid w:val="0AFC6D92"/>
    <w:rsid w:val="0B1F4CC9"/>
    <w:rsid w:val="0B4418D4"/>
    <w:rsid w:val="0BBB58C2"/>
    <w:rsid w:val="0C0F5353"/>
    <w:rsid w:val="0C32096A"/>
    <w:rsid w:val="0C476F17"/>
    <w:rsid w:val="0C7E360B"/>
    <w:rsid w:val="0C820673"/>
    <w:rsid w:val="0C9B1482"/>
    <w:rsid w:val="0D485FCF"/>
    <w:rsid w:val="0D5D409D"/>
    <w:rsid w:val="0D86358A"/>
    <w:rsid w:val="0E0B2DA3"/>
    <w:rsid w:val="0EEF0F83"/>
    <w:rsid w:val="0F014E92"/>
    <w:rsid w:val="0F1E3A54"/>
    <w:rsid w:val="0F3C791F"/>
    <w:rsid w:val="0F966E56"/>
    <w:rsid w:val="0FE443F8"/>
    <w:rsid w:val="10551A84"/>
    <w:rsid w:val="105E5829"/>
    <w:rsid w:val="107D4AA0"/>
    <w:rsid w:val="10B05A5F"/>
    <w:rsid w:val="10FD56B0"/>
    <w:rsid w:val="11035FCE"/>
    <w:rsid w:val="11286FF8"/>
    <w:rsid w:val="11A33589"/>
    <w:rsid w:val="11C40F77"/>
    <w:rsid w:val="11CC15E8"/>
    <w:rsid w:val="11CC5345"/>
    <w:rsid w:val="12187C39"/>
    <w:rsid w:val="12374B2C"/>
    <w:rsid w:val="1238648A"/>
    <w:rsid w:val="12454614"/>
    <w:rsid w:val="124F493A"/>
    <w:rsid w:val="125A4762"/>
    <w:rsid w:val="12893951"/>
    <w:rsid w:val="12DE5A9C"/>
    <w:rsid w:val="13334A49"/>
    <w:rsid w:val="13611B4B"/>
    <w:rsid w:val="13753887"/>
    <w:rsid w:val="137B6A6E"/>
    <w:rsid w:val="138A39DE"/>
    <w:rsid w:val="13A80EEF"/>
    <w:rsid w:val="13C733D2"/>
    <w:rsid w:val="147D52F1"/>
    <w:rsid w:val="148F683D"/>
    <w:rsid w:val="14CF6BB1"/>
    <w:rsid w:val="15325208"/>
    <w:rsid w:val="155A79E0"/>
    <w:rsid w:val="15BD705A"/>
    <w:rsid w:val="15D10D8D"/>
    <w:rsid w:val="15E33C23"/>
    <w:rsid w:val="16CC4399"/>
    <w:rsid w:val="17091AEE"/>
    <w:rsid w:val="17461E90"/>
    <w:rsid w:val="177719DE"/>
    <w:rsid w:val="177C4762"/>
    <w:rsid w:val="177F0D6A"/>
    <w:rsid w:val="17FA25E5"/>
    <w:rsid w:val="1899778B"/>
    <w:rsid w:val="18D4649C"/>
    <w:rsid w:val="18D56FD4"/>
    <w:rsid w:val="193F0899"/>
    <w:rsid w:val="1A0260CE"/>
    <w:rsid w:val="1A652E65"/>
    <w:rsid w:val="1A7937AC"/>
    <w:rsid w:val="1A8F6DD6"/>
    <w:rsid w:val="1AC057F3"/>
    <w:rsid w:val="1AD2194F"/>
    <w:rsid w:val="1B101758"/>
    <w:rsid w:val="1B9F31F9"/>
    <w:rsid w:val="1BD75F88"/>
    <w:rsid w:val="1BD91B12"/>
    <w:rsid w:val="1BEF2AA3"/>
    <w:rsid w:val="1C9571A6"/>
    <w:rsid w:val="1D2B387D"/>
    <w:rsid w:val="1D3A482F"/>
    <w:rsid w:val="1D5D0BCD"/>
    <w:rsid w:val="1DA42EB1"/>
    <w:rsid w:val="1DE06805"/>
    <w:rsid w:val="1DF36129"/>
    <w:rsid w:val="1DF93C7B"/>
    <w:rsid w:val="1E41352B"/>
    <w:rsid w:val="1EA53CFF"/>
    <w:rsid w:val="1F186F98"/>
    <w:rsid w:val="1FCB2AEC"/>
    <w:rsid w:val="1FDF6783"/>
    <w:rsid w:val="209C2D0F"/>
    <w:rsid w:val="20AE1D18"/>
    <w:rsid w:val="20B120D5"/>
    <w:rsid w:val="20C0486A"/>
    <w:rsid w:val="20CC5612"/>
    <w:rsid w:val="21156130"/>
    <w:rsid w:val="219B39E2"/>
    <w:rsid w:val="21C645C7"/>
    <w:rsid w:val="21D63524"/>
    <w:rsid w:val="221F22B3"/>
    <w:rsid w:val="2233022B"/>
    <w:rsid w:val="22421C49"/>
    <w:rsid w:val="22426CD1"/>
    <w:rsid w:val="229131B3"/>
    <w:rsid w:val="22E90E34"/>
    <w:rsid w:val="22FB3ADB"/>
    <w:rsid w:val="23035A4C"/>
    <w:rsid w:val="231D1DD1"/>
    <w:rsid w:val="233B51A7"/>
    <w:rsid w:val="235130BE"/>
    <w:rsid w:val="23EE25BB"/>
    <w:rsid w:val="23F938FE"/>
    <w:rsid w:val="25052E0F"/>
    <w:rsid w:val="25552E7D"/>
    <w:rsid w:val="25720D38"/>
    <w:rsid w:val="25CB2A80"/>
    <w:rsid w:val="25E05DF6"/>
    <w:rsid w:val="263225F6"/>
    <w:rsid w:val="264C3185"/>
    <w:rsid w:val="279A1481"/>
    <w:rsid w:val="27E16F51"/>
    <w:rsid w:val="27FD740B"/>
    <w:rsid w:val="28102089"/>
    <w:rsid w:val="2818497C"/>
    <w:rsid w:val="28632016"/>
    <w:rsid w:val="2873238A"/>
    <w:rsid w:val="28C732A1"/>
    <w:rsid w:val="28CA467C"/>
    <w:rsid w:val="28F516D7"/>
    <w:rsid w:val="29194CF5"/>
    <w:rsid w:val="295E6B72"/>
    <w:rsid w:val="29977838"/>
    <w:rsid w:val="29EE439A"/>
    <w:rsid w:val="2A1C3CD3"/>
    <w:rsid w:val="2AC8553F"/>
    <w:rsid w:val="2B914D75"/>
    <w:rsid w:val="2BE07BE3"/>
    <w:rsid w:val="2C2C2704"/>
    <w:rsid w:val="2C6E3570"/>
    <w:rsid w:val="2CAF5180"/>
    <w:rsid w:val="2CB30A73"/>
    <w:rsid w:val="2CBF2091"/>
    <w:rsid w:val="2D286742"/>
    <w:rsid w:val="2D542A2A"/>
    <w:rsid w:val="2D656A67"/>
    <w:rsid w:val="2E19748C"/>
    <w:rsid w:val="2E4209D9"/>
    <w:rsid w:val="2E616B37"/>
    <w:rsid w:val="2EFB29F1"/>
    <w:rsid w:val="2F1E291D"/>
    <w:rsid w:val="2F620C2E"/>
    <w:rsid w:val="2FD951A4"/>
    <w:rsid w:val="2FE75B13"/>
    <w:rsid w:val="30042440"/>
    <w:rsid w:val="30467FFD"/>
    <w:rsid w:val="3069004A"/>
    <w:rsid w:val="30696528"/>
    <w:rsid w:val="30716F06"/>
    <w:rsid w:val="30B13EB7"/>
    <w:rsid w:val="30E600AF"/>
    <w:rsid w:val="30F17F41"/>
    <w:rsid w:val="310C1EF7"/>
    <w:rsid w:val="311938B0"/>
    <w:rsid w:val="315B210C"/>
    <w:rsid w:val="3164112A"/>
    <w:rsid w:val="317F1D7B"/>
    <w:rsid w:val="31A11D04"/>
    <w:rsid w:val="31CC76FF"/>
    <w:rsid w:val="31F172F6"/>
    <w:rsid w:val="32905CAB"/>
    <w:rsid w:val="32B51A27"/>
    <w:rsid w:val="32FA6504"/>
    <w:rsid w:val="330A11E9"/>
    <w:rsid w:val="335210D7"/>
    <w:rsid w:val="33D54BEA"/>
    <w:rsid w:val="34E12746"/>
    <w:rsid w:val="355A5092"/>
    <w:rsid w:val="356C1CB1"/>
    <w:rsid w:val="357E5017"/>
    <w:rsid w:val="358D3127"/>
    <w:rsid w:val="35A119F9"/>
    <w:rsid w:val="35E52E60"/>
    <w:rsid w:val="362339C7"/>
    <w:rsid w:val="363B2715"/>
    <w:rsid w:val="367F3DA1"/>
    <w:rsid w:val="36AC7731"/>
    <w:rsid w:val="36B93792"/>
    <w:rsid w:val="36F1454D"/>
    <w:rsid w:val="37712166"/>
    <w:rsid w:val="37CF3484"/>
    <w:rsid w:val="37D710BC"/>
    <w:rsid w:val="37E17463"/>
    <w:rsid w:val="384637F8"/>
    <w:rsid w:val="38926C07"/>
    <w:rsid w:val="38DC31DA"/>
    <w:rsid w:val="38E97418"/>
    <w:rsid w:val="3A2B484E"/>
    <w:rsid w:val="3A636FDD"/>
    <w:rsid w:val="3A7537C9"/>
    <w:rsid w:val="3A9C74FA"/>
    <w:rsid w:val="3B126CF0"/>
    <w:rsid w:val="3B354EAA"/>
    <w:rsid w:val="3B927DA6"/>
    <w:rsid w:val="3BC12604"/>
    <w:rsid w:val="3C36245C"/>
    <w:rsid w:val="3C5820D4"/>
    <w:rsid w:val="3C5D298C"/>
    <w:rsid w:val="3C60338E"/>
    <w:rsid w:val="3C840FCA"/>
    <w:rsid w:val="3CA90ECD"/>
    <w:rsid w:val="3CAE4D3F"/>
    <w:rsid w:val="3D3943C1"/>
    <w:rsid w:val="3DAC214A"/>
    <w:rsid w:val="3DBA0CE8"/>
    <w:rsid w:val="3DC926AD"/>
    <w:rsid w:val="3E0B108C"/>
    <w:rsid w:val="3E291783"/>
    <w:rsid w:val="3F253EC2"/>
    <w:rsid w:val="3FDE6FD5"/>
    <w:rsid w:val="4015650F"/>
    <w:rsid w:val="40676830"/>
    <w:rsid w:val="40F06215"/>
    <w:rsid w:val="411101D9"/>
    <w:rsid w:val="41120516"/>
    <w:rsid w:val="41391759"/>
    <w:rsid w:val="415E262D"/>
    <w:rsid w:val="41910EE4"/>
    <w:rsid w:val="41B80523"/>
    <w:rsid w:val="41BC551E"/>
    <w:rsid w:val="421279E6"/>
    <w:rsid w:val="423F3439"/>
    <w:rsid w:val="42611F54"/>
    <w:rsid w:val="427E62A6"/>
    <w:rsid w:val="42985C27"/>
    <w:rsid w:val="42C1143C"/>
    <w:rsid w:val="42D57D44"/>
    <w:rsid w:val="42DF6B1E"/>
    <w:rsid w:val="434D63C0"/>
    <w:rsid w:val="434D745C"/>
    <w:rsid w:val="43E95815"/>
    <w:rsid w:val="44364CD0"/>
    <w:rsid w:val="44472C6C"/>
    <w:rsid w:val="448E1FA2"/>
    <w:rsid w:val="44A122DD"/>
    <w:rsid w:val="452B2802"/>
    <w:rsid w:val="457F7ACC"/>
    <w:rsid w:val="46C2238E"/>
    <w:rsid w:val="46FB6035"/>
    <w:rsid w:val="47AF3639"/>
    <w:rsid w:val="47B26F7D"/>
    <w:rsid w:val="480F1E94"/>
    <w:rsid w:val="482F7F71"/>
    <w:rsid w:val="48AA70D7"/>
    <w:rsid w:val="48C0669E"/>
    <w:rsid w:val="48D611CF"/>
    <w:rsid w:val="48D85FE9"/>
    <w:rsid w:val="48DB6BC0"/>
    <w:rsid w:val="48E94455"/>
    <w:rsid w:val="49330904"/>
    <w:rsid w:val="49551A36"/>
    <w:rsid w:val="498E7945"/>
    <w:rsid w:val="49B42FE5"/>
    <w:rsid w:val="49B63AD6"/>
    <w:rsid w:val="49D41D01"/>
    <w:rsid w:val="49DA5AB1"/>
    <w:rsid w:val="4B683C0F"/>
    <w:rsid w:val="4B815160"/>
    <w:rsid w:val="4BBB64D2"/>
    <w:rsid w:val="4BBC17AA"/>
    <w:rsid w:val="4C250F27"/>
    <w:rsid w:val="4C7235CD"/>
    <w:rsid w:val="4CFC11EA"/>
    <w:rsid w:val="4D0000F3"/>
    <w:rsid w:val="4D225F85"/>
    <w:rsid w:val="4D2E6FC3"/>
    <w:rsid w:val="4D3F1A54"/>
    <w:rsid w:val="4D491AF0"/>
    <w:rsid w:val="4D4A1B0C"/>
    <w:rsid w:val="4D73058E"/>
    <w:rsid w:val="4DAE1E85"/>
    <w:rsid w:val="4DC376D1"/>
    <w:rsid w:val="4E0F02B7"/>
    <w:rsid w:val="4E682070"/>
    <w:rsid w:val="4E914C57"/>
    <w:rsid w:val="4F413B09"/>
    <w:rsid w:val="4F792DCA"/>
    <w:rsid w:val="4F8F10A2"/>
    <w:rsid w:val="4F9D25EA"/>
    <w:rsid w:val="4FAA2E71"/>
    <w:rsid w:val="4FE70DC0"/>
    <w:rsid w:val="503B0D85"/>
    <w:rsid w:val="51195F62"/>
    <w:rsid w:val="51214A1C"/>
    <w:rsid w:val="51B6537D"/>
    <w:rsid w:val="51D60BAD"/>
    <w:rsid w:val="51E85918"/>
    <w:rsid w:val="526B785D"/>
    <w:rsid w:val="529A4E08"/>
    <w:rsid w:val="53054F9F"/>
    <w:rsid w:val="53351597"/>
    <w:rsid w:val="53633748"/>
    <w:rsid w:val="538E7F97"/>
    <w:rsid w:val="53F31105"/>
    <w:rsid w:val="54665390"/>
    <w:rsid w:val="54777B6E"/>
    <w:rsid w:val="54796820"/>
    <w:rsid w:val="5490517C"/>
    <w:rsid w:val="54DF553D"/>
    <w:rsid w:val="556B4EDD"/>
    <w:rsid w:val="55DD08C4"/>
    <w:rsid w:val="560343FB"/>
    <w:rsid w:val="56466840"/>
    <w:rsid w:val="565C5E10"/>
    <w:rsid w:val="56605C0D"/>
    <w:rsid w:val="566C55F5"/>
    <w:rsid w:val="568C5B7C"/>
    <w:rsid w:val="5719718C"/>
    <w:rsid w:val="576F4F06"/>
    <w:rsid w:val="58780095"/>
    <w:rsid w:val="58F451C8"/>
    <w:rsid w:val="599704D6"/>
    <w:rsid w:val="59B24329"/>
    <w:rsid w:val="5B1220CD"/>
    <w:rsid w:val="5B2F1CB7"/>
    <w:rsid w:val="5BF92FB6"/>
    <w:rsid w:val="5C207A49"/>
    <w:rsid w:val="5C451348"/>
    <w:rsid w:val="5C6E4D42"/>
    <w:rsid w:val="5D191F67"/>
    <w:rsid w:val="5D40525F"/>
    <w:rsid w:val="5D433C9B"/>
    <w:rsid w:val="5D5D061E"/>
    <w:rsid w:val="5DC934C7"/>
    <w:rsid w:val="5DE61BB4"/>
    <w:rsid w:val="5DE921E3"/>
    <w:rsid w:val="5E025F34"/>
    <w:rsid w:val="5E5B76CA"/>
    <w:rsid w:val="5E6957E0"/>
    <w:rsid w:val="5EAF49FF"/>
    <w:rsid w:val="5EB005A8"/>
    <w:rsid w:val="5ED457C4"/>
    <w:rsid w:val="5F36302E"/>
    <w:rsid w:val="5F5D4F94"/>
    <w:rsid w:val="600E2F0E"/>
    <w:rsid w:val="601C0EEF"/>
    <w:rsid w:val="60A0128E"/>
    <w:rsid w:val="613D6F0C"/>
    <w:rsid w:val="61563EDB"/>
    <w:rsid w:val="61606110"/>
    <w:rsid w:val="616B2C59"/>
    <w:rsid w:val="618B5A4F"/>
    <w:rsid w:val="61C35ECC"/>
    <w:rsid w:val="6200624D"/>
    <w:rsid w:val="622412A8"/>
    <w:rsid w:val="624152A8"/>
    <w:rsid w:val="62717F29"/>
    <w:rsid w:val="62C959F4"/>
    <w:rsid w:val="638B00E1"/>
    <w:rsid w:val="6431737D"/>
    <w:rsid w:val="64491E06"/>
    <w:rsid w:val="65351D88"/>
    <w:rsid w:val="653D28FB"/>
    <w:rsid w:val="653F0AED"/>
    <w:rsid w:val="65483BE2"/>
    <w:rsid w:val="65BB2EF6"/>
    <w:rsid w:val="65D82B19"/>
    <w:rsid w:val="65E7565B"/>
    <w:rsid w:val="65F32E35"/>
    <w:rsid w:val="666E3111"/>
    <w:rsid w:val="66B90AD6"/>
    <w:rsid w:val="66F34A45"/>
    <w:rsid w:val="67096872"/>
    <w:rsid w:val="672166AA"/>
    <w:rsid w:val="673F51FA"/>
    <w:rsid w:val="681D4ECB"/>
    <w:rsid w:val="689478DF"/>
    <w:rsid w:val="689F687A"/>
    <w:rsid w:val="68A270ED"/>
    <w:rsid w:val="68F64B7B"/>
    <w:rsid w:val="69993FC4"/>
    <w:rsid w:val="69C433F1"/>
    <w:rsid w:val="6A163EBE"/>
    <w:rsid w:val="6A656DD9"/>
    <w:rsid w:val="6B0928F1"/>
    <w:rsid w:val="6B763559"/>
    <w:rsid w:val="6BA52303"/>
    <w:rsid w:val="6BD25C42"/>
    <w:rsid w:val="6BE3402B"/>
    <w:rsid w:val="6C7F08A6"/>
    <w:rsid w:val="6CBA018C"/>
    <w:rsid w:val="6CD67BD4"/>
    <w:rsid w:val="6D302D7C"/>
    <w:rsid w:val="6D392803"/>
    <w:rsid w:val="6D9E2518"/>
    <w:rsid w:val="6DBA7B46"/>
    <w:rsid w:val="6E77495A"/>
    <w:rsid w:val="6EAF635F"/>
    <w:rsid w:val="6EC800BC"/>
    <w:rsid w:val="6FB73BE7"/>
    <w:rsid w:val="6FC74F89"/>
    <w:rsid w:val="6FC82399"/>
    <w:rsid w:val="6FE93FCD"/>
    <w:rsid w:val="70120CD3"/>
    <w:rsid w:val="705B2C76"/>
    <w:rsid w:val="70B92DBC"/>
    <w:rsid w:val="70CB34AB"/>
    <w:rsid w:val="70F17567"/>
    <w:rsid w:val="710A4F1D"/>
    <w:rsid w:val="71685DAD"/>
    <w:rsid w:val="718E6436"/>
    <w:rsid w:val="725F012C"/>
    <w:rsid w:val="727A01CC"/>
    <w:rsid w:val="72FD5CB8"/>
    <w:rsid w:val="73452A90"/>
    <w:rsid w:val="73586019"/>
    <w:rsid w:val="736E6F41"/>
    <w:rsid w:val="73CC6079"/>
    <w:rsid w:val="73DF5EF1"/>
    <w:rsid w:val="74CF4AFC"/>
    <w:rsid w:val="751E4CA6"/>
    <w:rsid w:val="753A5E46"/>
    <w:rsid w:val="7550035E"/>
    <w:rsid w:val="758A45B5"/>
    <w:rsid w:val="759D5A90"/>
    <w:rsid w:val="75A1160C"/>
    <w:rsid w:val="75F0684F"/>
    <w:rsid w:val="75F56E68"/>
    <w:rsid w:val="768840AF"/>
    <w:rsid w:val="76A81B2B"/>
    <w:rsid w:val="76EA5E9C"/>
    <w:rsid w:val="771C3B7F"/>
    <w:rsid w:val="77570EBD"/>
    <w:rsid w:val="77F86EC8"/>
    <w:rsid w:val="781028F2"/>
    <w:rsid w:val="781E605F"/>
    <w:rsid w:val="788A1EBA"/>
    <w:rsid w:val="78C402EA"/>
    <w:rsid w:val="7924125A"/>
    <w:rsid w:val="79627EE8"/>
    <w:rsid w:val="797B7BE6"/>
    <w:rsid w:val="799E4500"/>
    <w:rsid w:val="79FB08F2"/>
    <w:rsid w:val="7A6D1745"/>
    <w:rsid w:val="7A8D0632"/>
    <w:rsid w:val="7A8E45BE"/>
    <w:rsid w:val="7BDD0B1E"/>
    <w:rsid w:val="7C366122"/>
    <w:rsid w:val="7C693CA2"/>
    <w:rsid w:val="7C7062B2"/>
    <w:rsid w:val="7D4E23DA"/>
    <w:rsid w:val="7E3452EF"/>
    <w:rsid w:val="7E6601F9"/>
    <w:rsid w:val="7EC42D4A"/>
    <w:rsid w:val="7EE97DD9"/>
    <w:rsid w:val="7EF02F3D"/>
    <w:rsid w:val="7F761695"/>
    <w:rsid w:val="7F8B64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uiPriority="99" w:name="Body Text First Indent 2"/>
    <w:lsdException w:uiPriority="99" w:name="Note Heading"/>
    <w:lsdException w:uiPriority="99"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autoRedefine/>
    <w:semiHidden/>
    <w:unhideWhenUsed/>
    <w:qFormat/>
    <w:uiPriority w:val="1"/>
  </w:style>
  <w:style w:type="table" w:default="1" w:styleId="10">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w:basedOn w:val="3"/>
    <w:autoRedefine/>
    <w:unhideWhenUsed/>
    <w:qFormat/>
    <w:uiPriority w:val="99"/>
    <w:pPr>
      <w:ind w:firstLine="420" w:firstLineChars="100"/>
    </w:pPr>
    <w:rPr>
      <w:rFonts w:ascii="Times New Roman" w:hAnsi="Times New Roman"/>
      <w:kern w:val="0"/>
      <w:sz w:val="20"/>
      <w:szCs w:val="20"/>
    </w:rPr>
  </w:style>
  <w:style w:type="paragraph" w:styleId="3">
    <w:name w:val="Body Text"/>
    <w:basedOn w:val="1"/>
    <w:next w:val="4"/>
    <w:autoRedefine/>
    <w:qFormat/>
    <w:uiPriority w:val="0"/>
    <w:pPr>
      <w:spacing w:after="120"/>
    </w:pPr>
  </w:style>
  <w:style w:type="paragraph" w:customStyle="1" w:styleId="4">
    <w:name w:val="style4"/>
    <w:basedOn w:val="1"/>
    <w:next w:val="5"/>
    <w:autoRedefine/>
    <w:qFormat/>
    <w:uiPriority w:val="0"/>
    <w:pPr>
      <w:widowControl/>
      <w:spacing w:before="280" w:after="280"/>
    </w:pPr>
    <w:rPr>
      <w:rFonts w:ascii="宋体" w:hAnsi="Times New Roman" w:eastAsia="宋体" w:cs="Times New Roman"/>
      <w:sz w:val="18"/>
    </w:rPr>
  </w:style>
  <w:style w:type="paragraph" w:customStyle="1" w:styleId="5">
    <w:name w:val="2"/>
    <w:next w:val="1"/>
    <w:autoRedefine/>
    <w:qFormat/>
    <w:uiPriority w:val="0"/>
    <w:pPr>
      <w:widowControl w:val="0"/>
      <w:jc w:val="both"/>
    </w:pPr>
    <w:rPr>
      <w:rFonts w:ascii="Calibri" w:hAnsi="Calibri" w:eastAsia="宋体" w:cs="Times New Roman"/>
      <w:sz w:val="21"/>
      <w:szCs w:val="22"/>
      <w:lang w:val="en-US" w:eastAsia="zh-CN" w:bidi="ar-SA"/>
    </w:rPr>
  </w:style>
  <w:style w:type="paragraph" w:styleId="6">
    <w:name w:val="Normal Indent"/>
    <w:basedOn w:val="1"/>
    <w:autoRedefine/>
    <w:qFormat/>
    <w:uiPriority w:val="0"/>
    <w:pPr>
      <w:ind w:firstLine="420"/>
    </w:pPr>
    <w:rPr>
      <w:rFonts w:ascii="Calibri" w:hAnsi="Calibri" w:eastAsia="宋体" w:cs="Times New Roman"/>
    </w:rPr>
  </w:style>
  <w:style w:type="paragraph" w:styleId="7">
    <w:name w:val="Body Text 3"/>
    <w:basedOn w:val="1"/>
    <w:unhideWhenUsed/>
    <w:qFormat/>
    <w:uiPriority w:val="99"/>
    <w:pPr>
      <w:spacing w:after="120"/>
    </w:pPr>
    <w:rPr>
      <w:rFonts w:ascii="Calibri" w:hAnsi="Calibri"/>
      <w:sz w:val="16"/>
      <w:szCs w:val="16"/>
      <w:lang w:val="zh-CN"/>
    </w:rPr>
  </w:style>
  <w:style w:type="paragraph" w:styleId="8">
    <w:name w:val="footer"/>
    <w:basedOn w:val="1"/>
    <w:link w:val="14"/>
    <w:autoRedefine/>
    <w:unhideWhenUsed/>
    <w:qFormat/>
    <w:uiPriority w:val="99"/>
    <w:pPr>
      <w:tabs>
        <w:tab w:val="center" w:pos="4153"/>
        <w:tab w:val="right" w:pos="8306"/>
      </w:tabs>
      <w:snapToGrid w:val="0"/>
      <w:jc w:val="left"/>
    </w:pPr>
    <w:rPr>
      <w:sz w:val="18"/>
      <w:szCs w:val="18"/>
    </w:rPr>
  </w:style>
  <w:style w:type="paragraph" w:styleId="9">
    <w:name w:val="header"/>
    <w:basedOn w:val="1"/>
    <w:link w:val="13"/>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11">
    <w:name w:val="Table Grid"/>
    <w:basedOn w:val="10"/>
    <w:autoRedefine/>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13">
    <w:name w:val="页眉 Char"/>
    <w:basedOn w:val="12"/>
    <w:link w:val="9"/>
    <w:autoRedefine/>
    <w:semiHidden/>
    <w:qFormat/>
    <w:uiPriority w:val="99"/>
    <w:rPr>
      <w:sz w:val="18"/>
      <w:szCs w:val="18"/>
    </w:rPr>
  </w:style>
  <w:style w:type="character" w:customStyle="1" w:styleId="14">
    <w:name w:val="页脚 Char"/>
    <w:basedOn w:val="12"/>
    <w:link w:val="8"/>
    <w:autoRedefine/>
    <w:qFormat/>
    <w:uiPriority w:val="99"/>
    <w:rPr>
      <w:sz w:val="18"/>
      <w:szCs w:val="18"/>
    </w:rPr>
  </w:style>
  <w:style w:type="paragraph" w:customStyle="1" w:styleId="15">
    <w:name w:val="正文1"/>
    <w:basedOn w:val="1"/>
    <w:autoRedefine/>
    <w:qFormat/>
    <w:uiPriority w:val="0"/>
    <w:pPr>
      <w:numPr>
        <w:ilvl w:val="0"/>
        <w:numId w:val="1"/>
      </w:numPr>
      <w:tabs>
        <w:tab w:val="left" w:pos="360"/>
      </w:tabs>
      <w:spacing w:line="360" w:lineRule="auto"/>
      <w:ind w:left="357" w:hanging="357"/>
    </w:pPr>
    <w:rPr>
      <w:rFonts w:ascii="宋体" w:hAnsi="宋体" w:eastAsia="宋体" w:cs="Times New Roman"/>
      <w:color w:val="FF0000"/>
      <w:szCs w:val="24"/>
    </w:rPr>
  </w:style>
  <w:style w:type="character" w:customStyle="1" w:styleId="16">
    <w:name w:val="NormalCharacter"/>
    <w:autoRedefine/>
    <w:qFormat/>
    <w:uiPriority w:val="0"/>
  </w:style>
  <w:style w:type="paragraph" w:customStyle="1" w:styleId="17">
    <w:name w:val="Table Paragraph"/>
    <w:basedOn w:val="1"/>
    <w:autoRedefine/>
    <w:qFormat/>
    <w:uiPriority w:val="1"/>
    <w:rPr>
      <w:rFonts w:ascii="Times New Roman" w:hAnsi="Times New Roman" w:eastAsia="宋体" w:cs="Times New Roman"/>
      <w:sz w:val="24"/>
      <w:szCs w:val="20"/>
    </w:rPr>
  </w:style>
  <w:style w:type="paragraph" w:customStyle="1" w:styleId="18">
    <w:name w:val="表格 - 正文"/>
    <w:basedOn w:val="1"/>
    <w:qFormat/>
    <w:uiPriority w:val="0"/>
    <w:pPr>
      <w:snapToGrid w:val="0"/>
      <w:spacing w:before="120" w:after="120" w:line="360" w:lineRule="auto"/>
    </w:pPr>
    <w:rPr>
      <w:rFonts w:ascii="Times New Roman" w:hAnsi="Times New Roman" w:eastAsia="宋体" w:cs="宋体"/>
      <w:szCs w:val="20"/>
    </w:rPr>
  </w:style>
  <w:style w:type="paragraph" w:styleId="19">
    <w:name w:val="List Paragraph"/>
    <w:basedOn w:val="1"/>
    <w:autoRedefine/>
    <w:qFormat/>
    <w:uiPriority w:val="34"/>
    <w:pPr>
      <w:ind w:firstLine="420" w:firstLineChars="200"/>
    </w:pPr>
  </w:style>
  <w:style w:type="character" w:customStyle="1" w:styleId="20">
    <w:name w:val="font11"/>
    <w:basedOn w:val="12"/>
    <w:qFormat/>
    <w:uiPriority w:val="0"/>
    <w:rPr>
      <w:rFonts w:hint="eastAsia" w:ascii="宋体" w:hAnsi="宋体" w:eastAsia="宋体" w:cs="宋体"/>
      <w:color w:val="000000"/>
      <w:sz w:val="21"/>
      <w:szCs w:val="21"/>
      <w:u w:val="none"/>
    </w:rPr>
  </w:style>
  <w:style w:type="character" w:customStyle="1" w:styleId="21">
    <w:name w:val="font21"/>
    <w:basedOn w:val="12"/>
    <w:qFormat/>
    <w:uiPriority w:val="0"/>
    <w:rPr>
      <w:rFonts w:hint="eastAsia" w:ascii="宋体" w:hAnsi="宋体" w:eastAsia="宋体" w:cs="宋体"/>
      <w:strike/>
      <w:color w:val="000000"/>
      <w:sz w:val="21"/>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19</Pages>
  <Words>11257</Words>
  <Characters>11920</Characters>
  <Lines>6</Lines>
  <Paragraphs>1</Paragraphs>
  <TotalTime>0</TotalTime>
  <ScaleCrop>false</ScaleCrop>
  <LinksUpToDate>false</LinksUpToDate>
  <CharactersWithSpaces>12127</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2020-03-12T00:43:00Z</dcterms:created>
  <dc:creator>AutoBVT</dc:creator>
  <cp:lastModifiedBy>罗昊</cp:lastModifiedBy>
  <dcterms:modified xsi:type="dcterms:W3CDTF">2025-04-09T02:31:39Z</dcterms:modified>
  <cp:revision>1082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236EE8110CB74B6D96A171B8B9CB89FA</vt:lpwstr>
  </property>
  <property fmtid="{D5CDD505-2E9C-101B-9397-08002B2CF9AE}" pid="4" name="commondata">
    <vt:lpwstr>eyJoZGlkIjoiNzljOTE0MDRlMmUyY2M3ZGQ4Nzk0OWRiOWI1OGE3ZmYifQ==</vt:lpwstr>
  </property>
  <property fmtid="{D5CDD505-2E9C-101B-9397-08002B2CF9AE}" pid="5" name="KSOTemplateDocerSaveRecord">
    <vt:lpwstr>eyJoZGlkIjoiZjA2ZDk2ZDczZTRiYmUwYTE2ZjY2MTNhNzQ1OTE5YzEiLCJ1c2VySWQiOiI1MzM2NDQxMzEifQ==</vt:lpwstr>
  </property>
</Properties>
</file>