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附件：拟购霍邱县第六人民医院（六安市中医院马店院区）国家传染病智能检测预警前置软件配套项目初步参数论证征集意见表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69E44DF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lang w:val="en-US" w:eastAsia="zh-CN"/>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2C0E6202">
      <w:pPr>
        <w:spacing w:line="320" w:lineRule="exact"/>
        <w:rPr>
          <w:rFonts w:hint="eastAsia" w:asciiTheme="minorEastAsia" w:hAnsiTheme="minorEastAsia" w:eastAsiaTheme="minorEastAsia" w:cstheme="minorEastAsia"/>
          <w:b w:val="0"/>
          <w:bCs/>
          <w:szCs w:val="21"/>
          <w:lang w:eastAsia="zh-CN"/>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8"/>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686"/>
        <w:gridCol w:w="3977"/>
        <w:gridCol w:w="749"/>
        <w:gridCol w:w="817"/>
        <w:gridCol w:w="973"/>
        <w:gridCol w:w="992"/>
      </w:tblGrid>
      <w:tr w14:paraId="3F11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6" w:type="dxa"/>
            <w:gridSpan w:val="4"/>
            <w:tcBorders>
              <w:top w:val="single" w:color="auto" w:sz="4" w:space="0"/>
              <w:left w:val="single" w:color="auto" w:sz="4" w:space="0"/>
              <w:bottom w:val="single" w:color="auto" w:sz="4" w:space="0"/>
              <w:right w:val="single" w:color="auto" w:sz="4" w:space="0"/>
            </w:tcBorders>
            <w:noWrap w:val="0"/>
            <w:vAlign w:val="center"/>
          </w:tcPr>
          <w:p w14:paraId="78D8EA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61" w:type="dxa"/>
            <w:vMerge w:val="restart"/>
            <w:tcBorders>
              <w:top w:val="single" w:color="auto" w:sz="4" w:space="0"/>
              <w:left w:val="single" w:color="auto" w:sz="4" w:space="0"/>
              <w:right w:val="single" w:color="auto" w:sz="4" w:space="0"/>
            </w:tcBorders>
            <w:noWrap w:val="0"/>
            <w:vAlign w:val="center"/>
          </w:tcPr>
          <w:p w14:paraId="4CC699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1034" w:type="dxa"/>
            <w:vMerge w:val="restart"/>
            <w:tcBorders>
              <w:top w:val="single" w:color="auto" w:sz="4" w:space="0"/>
              <w:left w:val="single" w:color="auto" w:sz="4" w:space="0"/>
              <w:right w:val="single" w:color="auto" w:sz="4" w:space="0"/>
            </w:tcBorders>
            <w:noWrap w:val="0"/>
            <w:vAlign w:val="center"/>
          </w:tcPr>
          <w:p w14:paraId="000FE7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31" w:type="dxa"/>
            <w:vMerge w:val="restart"/>
            <w:tcBorders>
              <w:top w:val="single" w:color="auto" w:sz="4" w:space="0"/>
              <w:left w:val="single" w:color="auto" w:sz="4" w:space="0"/>
              <w:right w:val="single" w:color="auto" w:sz="4" w:space="0"/>
            </w:tcBorders>
            <w:noWrap w:val="0"/>
            <w:vAlign w:val="top"/>
          </w:tcPr>
          <w:p w14:paraId="26C2F43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14:paraId="3E1F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5843AEF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序号</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36F683">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系统模块</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6939B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E2CD8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61" w:type="dxa"/>
            <w:vMerge w:val="continue"/>
            <w:tcBorders>
              <w:left w:val="single" w:color="auto" w:sz="4" w:space="0"/>
              <w:right w:val="single" w:color="auto" w:sz="4" w:space="0"/>
            </w:tcBorders>
            <w:noWrap w:val="0"/>
            <w:vAlign w:val="center"/>
          </w:tcPr>
          <w:p w14:paraId="36A596C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vMerge w:val="continue"/>
            <w:tcBorders>
              <w:left w:val="single" w:color="auto" w:sz="4" w:space="0"/>
              <w:right w:val="single" w:color="auto" w:sz="4" w:space="0"/>
            </w:tcBorders>
            <w:noWrap w:val="0"/>
            <w:vAlign w:val="center"/>
          </w:tcPr>
          <w:p w14:paraId="4E66F3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vMerge w:val="continue"/>
            <w:tcBorders>
              <w:left w:val="single" w:color="auto" w:sz="4" w:space="0"/>
              <w:right w:val="single" w:color="auto" w:sz="4" w:space="0"/>
            </w:tcBorders>
            <w:noWrap w:val="0"/>
            <w:vAlign w:val="top"/>
          </w:tcPr>
          <w:p w14:paraId="079D1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997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6E8F930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CA539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imes New Roman"/>
                <w:bCs/>
                <w:kern w:val="2"/>
                <w:sz w:val="21"/>
                <w:szCs w:val="21"/>
                <w:lang w:val="en-US" w:eastAsia="zh-CN" w:bidi="ar-SA"/>
              </w:rPr>
              <w:t>前置服务器</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3F09C597">
            <w:pPr>
              <w:jc w:val="left"/>
              <w:rPr>
                <w:rFonts w:hint="eastAsia" w:ascii="仿宋" w:hAnsi="仿宋" w:eastAsia="仿宋" w:cs="Times New Roman"/>
                <w:bCs/>
                <w:szCs w:val="21"/>
              </w:rPr>
            </w:pPr>
            <w:r>
              <w:rPr>
                <w:rFonts w:hint="eastAsia" w:ascii="仿宋" w:hAnsi="仿宋" w:eastAsia="仿宋" w:cs="Times New Roman"/>
                <w:bCs/>
                <w:szCs w:val="21"/>
                <w:lang w:val="en-US" w:eastAsia="zh-CN"/>
              </w:rPr>
              <w:t>1、</w:t>
            </w:r>
            <w:r>
              <w:rPr>
                <w:rFonts w:hint="eastAsia" w:ascii="仿宋" w:hAnsi="仿宋" w:eastAsia="仿宋" w:cs="Times New Roman"/>
                <w:bCs/>
                <w:szCs w:val="21"/>
              </w:rPr>
              <w:t>CPU:采用国产自研CPU，物理核数</w:t>
            </w:r>
            <w:r>
              <w:rPr>
                <w:rFonts w:hint="eastAsia" w:ascii="仿宋" w:hAnsi="仿宋" w:eastAsia="仿宋" w:cs="Times New Roman"/>
                <w:bCs/>
                <w:szCs w:val="21"/>
                <w:lang w:eastAsia="zh-CN"/>
              </w:rPr>
              <w:t>≥</w:t>
            </w:r>
            <w:r>
              <w:rPr>
                <w:rFonts w:hint="eastAsia" w:ascii="仿宋" w:hAnsi="仿宋" w:eastAsia="仿宋" w:cs="Times New Roman"/>
                <w:bCs/>
                <w:szCs w:val="21"/>
                <w:lang w:val="en-US" w:eastAsia="zh-CN"/>
              </w:rPr>
              <w:t>48</w:t>
            </w:r>
            <w:r>
              <w:rPr>
                <w:rFonts w:hint="eastAsia" w:ascii="仿宋" w:hAnsi="仿宋" w:eastAsia="仿宋" w:cs="Times New Roman"/>
                <w:bCs/>
                <w:szCs w:val="21"/>
              </w:rPr>
              <w:t>核:</w:t>
            </w:r>
          </w:p>
          <w:p w14:paraId="099C6A6A">
            <w:pPr>
              <w:jc w:val="left"/>
              <w:rPr>
                <w:rFonts w:hint="eastAsia" w:ascii="仿宋" w:hAnsi="仿宋" w:eastAsia="仿宋" w:cs="Times New Roman"/>
                <w:bCs/>
                <w:szCs w:val="21"/>
              </w:rPr>
            </w:pPr>
            <w:r>
              <w:rPr>
                <w:rFonts w:hint="eastAsia" w:ascii="仿宋" w:hAnsi="仿宋" w:eastAsia="仿宋" w:cs="Times New Roman"/>
                <w:bCs/>
                <w:szCs w:val="21"/>
                <w:lang w:val="en-US" w:eastAsia="zh-CN"/>
              </w:rPr>
              <w:t>2、</w:t>
            </w:r>
            <w:r>
              <w:rPr>
                <w:rFonts w:hint="eastAsia" w:ascii="仿宋" w:hAnsi="仿宋" w:eastAsia="仿宋" w:cs="Times New Roman"/>
                <w:bCs/>
                <w:szCs w:val="21"/>
              </w:rPr>
              <w:t>内存:</w:t>
            </w:r>
            <w:r>
              <w:rPr>
                <w:rFonts w:hint="eastAsia" w:ascii="仿宋" w:hAnsi="仿宋" w:eastAsia="仿宋" w:cs="Times New Roman"/>
                <w:bCs/>
                <w:szCs w:val="21"/>
                <w:lang w:eastAsia="zh-CN"/>
              </w:rPr>
              <w:t>≥</w:t>
            </w:r>
            <w:r>
              <w:rPr>
                <w:rFonts w:hint="eastAsia" w:ascii="仿宋" w:hAnsi="仿宋" w:eastAsia="仿宋" w:cs="Times New Roman"/>
                <w:bCs/>
                <w:szCs w:val="21"/>
                <w:lang w:val="en-US" w:eastAsia="zh-CN"/>
              </w:rPr>
              <w:t>128</w:t>
            </w:r>
            <w:r>
              <w:rPr>
                <w:rFonts w:hint="eastAsia" w:ascii="仿宋" w:hAnsi="仿宋" w:eastAsia="仿宋" w:cs="Times New Roman"/>
                <w:bCs/>
                <w:szCs w:val="21"/>
              </w:rPr>
              <w:t>GB;</w:t>
            </w:r>
          </w:p>
          <w:p w14:paraId="7AA52EA9">
            <w:pPr>
              <w:jc w:val="left"/>
              <w:rPr>
                <w:rFonts w:hint="default" w:ascii="仿宋" w:hAnsi="仿宋" w:eastAsia="仿宋" w:cs="Times New Roman"/>
                <w:bCs/>
                <w:szCs w:val="21"/>
                <w:lang w:val="en-US" w:eastAsia="zh-CN"/>
              </w:rPr>
            </w:pPr>
            <w:r>
              <w:rPr>
                <w:rFonts w:hint="eastAsia" w:ascii="仿宋" w:hAnsi="仿宋" w:eastAsia="仿宋" w:cs="Times New Roman"/>
                <w:bCs/>
                <w:szCs w:val="21"/>
                <w:lang w:val="en-US" w:eastAsia="zh-CN"/>
              </w:rPr>
              <w:t>3、</w:t>
            </w:r>
            <w:r>
              <w:rPr>
                <w:rFonts w:hint="eastAsia" w:ascii="仿宋" w:hAnsi="仿宋" w:eastAsia="仿宋" w:cs="Times New Roman"/>
                <w:bCs/>
                <w:szCs w:val="21"/>
              </w:rPr>
              <w:t>存储介质类型:SSD;存储</w:t>
            </w:r>
            <w:r>
              <w:rPr>
                <w:rFonts w:hint="eastAsia" w:ascii="仿宋" w:hAnsi="仿宋" w:eastAsia="仿宋" w:cs="Times New Roman"/>
                <w:bCs/>
                <w:szCs w:val="21"/>
                <w:lang w:eastAsia="zh-CN"/>
              </w:rPr>
              <w:t>大小</w:t>
            </w:r>
            <w:r>
              <w:rPr>
                <w:rFonts w:hint="eastAsia" w:ascii="仿宋" w:hAnsi="仿宋" w:eastAsia="仿宋" w:cs="Times New Roman"/>
                <w:bCs/>
                <w:szCs w:val="21"/>
              </w:rPr>
              <w:t>:系统盘</w:t>
            </w:r>
            <w:r>
              <w:rPr>
                <w:rFonts w:hint="eastAsia" w:ascii="仿宋" w:hAnsi="仿宋" w:eastAsia="仿宋" w:cs="Times New Roman"/>
                <w:bCs/>
                <w:szCs w:val="21"/>
                <w:lang w:eastAsia="zh-CN"/>
              </w:rPr>
              <w:t>≥</w:t>
            </w:r>
            <w:r>
              <w:rPr>
                <w:rFonts w:hint="eastAsia" w:ascii="仿宋" w:hAnsi="仿宋" w:eastAsia="仿宋" w:cs="Times New Roman"/>
                <w:bCs/>
                <w:szCs w:val="21"/>
              </w:rPr>
              <w:t>480GB*2</w:t>
            </w:r>
            <w:r>
              <w:rPr>
                <w:rFonts w:hint="eastAsia" w:ascii="仿宋" w:hAnsi="仿宋" w:eastAsia="仿宋" w:cs="Times New Roman"/>
                <w:bCs/>
                <w:szCs w:val="21"/>
                <w:lang w:eastAsia="zh-CN"/>
              </w:rPr>
              <w:t>，</w:t>
            </w:r>
            <w:r>
              <w:rPr>
                <w:rFonts w:hint="eastAsia" w:ascii="仿宋" w:hAnsi="仿宋" w:eastAsia="仿宋" w:cs="Times New Roman"/>
                <w:bCs/>
                <w:szCs w:val="21"/>
              </w:rPr>
              <w:t>数据盘</w:t>
            </w:r>
            <w:r>
              <w:rPr>
                <w:rFonts w:hint="eastAsia" w:ascii="仿宋" w:hAnsi="仿宋" w:eastAsia="仿宋" w:cs="Times New Roman"/>
                <w:bCs/>
                <w:szCs w:val="21"/>
                <w:lang w:eastAsia="zh-CN"/>
              </w:rPr>
              <w:t>≥</w:t>
            </w:r>
            <w:r>
              <w:rPr>
                <w:rFonts w:hint="eastAsia" w:ascii="仿宋" w:hAnsi="仿宋" w:eastAsia="仿宋" w:cs="Times New Roman"/>
                <w:bCs/>
                <w:szCs w:val="21"/>
              </w:rPr>
              <w:t>1.92TB*2</w:t>
            </w:r>
            <w:r>
              <w:rPr>
                <w:rFonts w:hint="eastAsia" w:ascii="仿宋" w:hAnsi="仿宋" w:eastAsia="仿宋" w:cs="Times New Roman"/>
                <w:bCs/>
                <w:szCs w:val="21"/>
                <w:lang w:eastAsia="zh-CN"/>
              </w:rPr>
              <w:t>；配备</w:t>
            </w:r>
            <w:r>
              <w:rPr>
                <w:rFonts w:hint="eastAsia" w:ascii="仿宋" w:hAnsi="仿宋" w:eastAsia="仿宋" w:cs="Times New Roman"/>
                <w:bCs/>
                <w:szCs w:val="21"/>
                <w:lang w:val="en-US" w:eastAsia="zh-CN"/>
              </w:rPr>
              <w:t>RAID卡；</w:t>
            </w:r>
          </w:p>
          <w:p w14:paraId="38DD3BC2">
            <w:pPr>
              <w:jc w:val="left"/>
              <w:rPr>
                <w:rFonts w:hint="eastAsia" w:ascii="仿宋" w:hAnsi="仿宋" w:eastAsia="仿宋" w:cs="Times New Roman"/>
                <w:bCs/>
                <w:szCs w:val="21"/>
              </w:rPr>
            </w:pPr>
            <w:r>
              <w:rPr>
                <w:rFonts w:hint="eastAsia" w:ascii="仿宋" w:hAnsi="仿宋" w:eastAsia="仿宋" w:cs="Times New Roman"/>
                <w:bCs/>
                <w:szCs w:val="21"/>
                <w:lang w:val="en-US" w:eastAsia="zh-CN"/>
              </w:rPr>
              <w:t>4、</w:t>
            </w:r>
            <w:r>
              <w:rPr>
                <w:rFonts w:hint="eastAsia" w:ascii="仿宋" w:hAnsi="仿宋" w:eastAsia="仿宋" w:cs="Times New Roman"/>
                <w:bCs/>
                <w:szCs w:val="21"/>
              </w:rPr>
              <w:t>网卡</w:t>
            </w:r>
            <w:r>
              <w:rPr>
                <w:rFonts w:hint="eastAsia" w:ascii="仿宋" w:hAnsi="仿宋" w:eastAsia="仿宋" w:cs="Times New Roman"/>
                <w:bCs/>
                <w:szCs w:val="21"/>
                <w:lang w:eastAsia="zh-CN"/>
              </w:rPr>
              <w:t>配置≥</w:t>
            </w:r>
            <w:r>
              <w:rPr>
                <w:rFonts w:hint="eastAsia" w:ascii="仿宋" w:hAnsi="仿宋" w:eastAsia="仿宋" w:cs="Times New Roman"/>
                <w:bCs/>
                <w:szCs w:val="21"/>
                <w:lang w:val="en-US" w:eastAsia="zh-CN"/>
              </w:rPr>
              <w:t>4个千兆电口2个万兆光口（含模块）</w:t>
            </w:r>
            <w:r>
              <w:rPr>
                <w:rFonts w:hint="eastAsia" w:ascii="仿宋" w:hAnsi="仿宋" w:eastAsia="仿宋" w:cs="Times New Roman"/>
                <w:bCs/>
                <w:szCs w:val="21"/>
              </w:rPr>
              <w:t>;</w:t>
            </w:r>
          </w:p>
          <w:p w14:paraId="198D3B7D">
            <w:pPr>
              <w:jc w:val="left"/>
              <w:rPr>
                <w:rFonts w:hint="eastAsia" w:ascii="仿宋" w:hAnsi="仿宋" w:eastAsia="仿宋" w:cs="Times New Roman"/>
                <w:bCs/>
                <w:szCs w:val="21"/>
              </w:rPr>
            </w:pPr>
            <w:r>
              <w:rPr>
                <w:rFonts w:hint="eastAsia" w:ascii="仿宋" w:hAnsi="仿宋" w:eastAsia="仿宋" w:cs="Times New Roman"/>
                <w:bCs/>
                <w:szCs w:val="21"/>
                <w:lang w:val="en-US" w:eastAsia="zh-CN"/>
              </w:rPr>
              <w:t>5、</w:t>
            </w:r>
            <w:r>
              <w:rPr>
                <w:rFonts w:hint="eastAsia" w:ascii="仿宋" w:hAnsi="仿宋" w:eastAsia="仿宋" w:cs="Times New Roman"/>
                <w:bCs/>
                <w:szCs w:val="21"/>
              </w:rPr>
              <w:t>GPU卡或NPU支持:可选配备GPU或NPU卡，便于提高AI算法计算速度和准确性，推荐传染病病例数量多的医院选配;</w:t>
            </w:r>
          </w:p>
          <w:p w14:paraId="5B687DD4">
            <w:pPr>
              <w:jc w:val="left"/>
              <w:rPr>
                <w:rFonts w:hint="eastAsia" w:ascii="仿宋" w:hAnsi="仿宋" w:eastAsia="仿宋" w:cs="Times New Roman"/>
                <w:bCs/>
                <w:szCs w:val="21"/>
              </w:rPr>
            </w:pPr>
            <w:r>
              <w:rPr>
                <w:rFonts w:hint="eastAsia" w:ascii="仿宋" w:hAnsi="仿宋" w:eastAsia="仿宋" w:cs="Times New Roman"/>
                <w:bCs/>
                <w:szCs w:val="21"/>
                <w:lang w:val="en-US" w:eastAsia="zh-CN"/>
              </w:rPr>
              <w:t>6、</w:t>
            </w:r>
            <w:r>
              <w:rPr>
                <w:rFonts w:hint="eastAsia" w:ascii="仿宋" w:hAnsi="仿宋" w:eastAsia="仿宋" w:cs="Times New Roman"/>
                <w:bCs/>
                <w:szCs w:val="21"/>
              </w:rPr>
              <w:t>操作系统:</w:t>
            </w:r>
            <w:r>
              <w:rPr>
                <w:rFonts w:hint="eastAsia" w:ascii="仿宋" w:hAnsi="仿宋" w:eastAsia="仿宋" w:cs="Times New Roman"/>
                <w:bCs/>
                <w:szCs w:val="21"/>
                <w:lang w:eastAsia="zh-CN"/>
              </w:rPr>
              <w:t>预装授权的</w:t>
            </w:r>
            <w:r>
              <w:rPr>
                <w:rFonts w:hint="eastAsia" w:ascii="仿宋" w:hAnsi="仿宋" w:eastAsia="仿宋" w:cs="Times New Roman"/>
                <w:bCs/>
                <w:szCs w:val="21"/>
              </w:rPr>
              <w:t>麒麟、欧拉、统信等国产操作系统的服务器版;</w:t>
            </w:r>
          </w:p>
          <w:p w14:paraId="2E2449A8">
            <w:pPr>
              <w:jc w:val="left"/>
              <w:rPr>
                <w:rFonts w:hint="eastAsia" w:ascii="仿宋" w:hAnsi="仿宋" w:eastAsia="仿宋" w:cs="Times New Roman"/>
                <w:bCs/>
                <w:szCs w:val="21"/>
                <w:lang w:eastAsia="zh-CN"/>
              </w:rPr>
            </w:pPr>
            <w:r>
              <w:rPr>
                <w:rFonts w:hint="eastAsia" w:ascii="仿宋" w:hAnsi="仿宋" w:eastAsia="仿宋" w:cs="Times New Roman"/>
                <w:bCs/>
                <w:szCs w:val="21"/>
                <w:lang w:val="en-US" w:eastAsia="zh-CN"/>
              </w:rPr>
              <w:t>7、</w:t>
            </w:r>
            <w:r>
              <w:rPr>
                <w:rFonts w:hint="eastAsia" w:ascii="仿宋" w:hAnsi="仿宋" w:eastAsia="仿宋" w:cs="Times New Roman"/>
                <w:bCs/>
                <w:szCs w:val="21"/>
              </w:rPr>
              <w:t>数据库支持:</w:t>
            </w:r>
            <w:r>
              <w:rPr>
                <w:rFonts w:hint="eastAsia" w:ascii="仿宋" w:hAnsi="仿宋" w:eastAsia="仿宋" w:cs="Times New Roman"/>
                <w:bCs/>
                <w:szCs w:val="21"/>
                <w:lang w:eastAsia="zh-CN"/>
              </w:rPr>
              <w:t>预装授权的</w:t>
            </w:r>
            <w:r>
              <w:rPr>
                <w:rFonts w:hint="eastAsia" w:ascii="仿宋" w:hAnsi="仿宋" w:eastAsia="仿宋" w:cs="Times New Roman"/>
                <w:bCs/>
                <w:szCs w:val="21"/>
              </w:rPr>
              <w:t>OpenGauss或同等架构的数据库，服务器需支持运行此架构数据库</w:t>
            </w:r>
            <w:r>
              <w:rPr>
                <w:rFonts w:hint="eastAsia" w:ascii="仿宋" w:hAnsi="仿宋" w:eastAsia="仿宋" w:cs="Times New Roman"/>
                <w:bCs/>
                <w:szCs w:val="21"/>
                <w:lang w:eastAsia="zh-CN"/>
              </w:rPr>
              <w:t>；</w:t>
            </w:r>
          </w:p>
          <w:p w14:paraId="58637D2D">
            <w:pPr>
              <w:jc w:val="left"/>
              <w:rPr>
                <w:rFonts w:hint="eastAsia" w:ascii="仿宋" w:hAnsi="仿宋" w:eastAsia="仿宋" w:cs="Times New Roman"/>
                <w:bCs/>
                <w:szCs w:val="21"/>
                <w:lang w:val="en-US" w:eastAsia="zh-CN"/>
              </w:rPr>
            </w:pPr>
            <w:r>
              <w:rPr>
                <w:rFonts w:hint="eastAsia" w:ascii="仿宋" w:hAnsi="仿宋" w:eastAsia="仿宋" w:cs="Times New Roman"/>
                <w:bCs/>
                <w:kern w:val="2"/>
                <w:sz w:val="21"/>
                <w:szCs w:val="21"/>
                <w:lang w:val="en-US" w:eastAsia="zh-CN" w:bidi="ar-SA"/>
              </w:rPr>
              <w:t>8</w:t>
            </w:r>
            <w:r>
              <w:rPr>
                <w:rFonts w:hint="eastAsia" w:ascii="仿宋" w:hAnsi="仿宋" w:eastAsia="仿宋" w:cs="Times New Roman"/>
                <w:bCs/>
                <w:szCs w:val="21"/>
                <w:lang w:val="en-US" w:eastAsia="zh-CN"/>
              </w:rPr>
              <w:t>、前置软件：预装国家传染病智能监测预警前置软件;</w:t>
            </w:r>
          </w:p>
          <w:p w14:paraId="44CB6B47">
            <w:pPr>
              <w:jc w:val="left"/>
              <w:rPr>
                <w:rFonts w:hint="eastAsia" w:ascii="仿宋" w:hAnsi="仿宋" w:eastAsia="仿宋" w:cstheme="minorBidi"/>
                <w:bCs/>
                <w:kern w:val="2"/>
                <w:sz w:val="21"/>
                <w:szCs w:val="21"/>
                <w:lang w:val="en-US" w:eastAsia="zh-CN" w:bidi="ar-SA"/>
              </w:rPr>
            </w:pPr>
            <w:r>
              <w:rPr>
                <w:rFonts w:hint="eastAsia" w:ascii="仿宋" w:hAnsi="仿宋" w:eastAsia="仿宋" w:cs="Times New Roman"/>
                <w:bCs/>
                <w:szCs w:val="21"/>
                <w:lang w:val="en-US" w:eastAsia="zh-CN"/>
              </w:rPr>
              <w:t>9、提供 3 年产品质保及软件升级服务。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6A59CE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4901F4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6C1834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F5F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53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3C35676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1FFEFD1D">
            <w:pPr>
              <w:keepNext w:val="0"/>
              <w:keepLines w:val="0"/>
              <w:widowControl/>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VPN网关AF-1000-S1300A</w:t>
            </w:r>
          </w:p>
          <w:p w14:paraId="3F6B3A1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23F7CAD0">
            <w:pPr>
              <w:jc w:val="left"/>
              <w:rPr>
                <w:rFonts w:hint="eastAsia" w:ascii="仿宋" w:hAnsi="仿宋" w:eastAsia="仿宋" w:cs="Times New Roman"/>
                <w:bCs/>
                <w:szCs w:val="21"/>
                <w:lang w:val="en-US" w:eastAsia="zh-CN"/>
              </w:rPr>
            </w:pPr>
            <w:r>
              <w:rPr>
                <w:rFonts w:hint="eastAsia" w:ascii="仿宋" w:hAnsi="仿宋" w:eastAsia="仿宋" w:cs="Times New Roman"/>
                <w:bCs/>
                <w:szCs w:val="21"/>
                <w:lang w:val="en-US" w:eastAsia="zh-CN"/>
              </w:rPr>
              <w:t>1、1U机架式设备，配置固态硬盘≥64G SSD，接口≥8千兆电口、2个千兆光口。具备商用密码认证证书。提供3年质保；</w:t>
            </w:r>
          </w:p>
          <w:p w14:paraId="414A2A2F">
            <w:pPr>
              <w:jc w:val="left"/>
              <w:rPr>
                <w:rFonts w:hint="eastAsia" w:ascii="仿宋" w:hAnsi="仿宋" w:eastAsia="仿宋" w:cs="Times New Roman"/>
                <w:bCs/>
                <w:szCs w:val="21"/>
                <w:lang w:val="en-US" w:eastAsia="zh-CN"/>
              </w:rPr>
            </w:pPr>
            <w:r>
              <w:rPr>
                <w:rFonts w:hint="eastAsia" w:ascii="仿宋" w:hAnsi="仿宋" w:eastAsia="仿宋" w:cs="Times New Roman"/>
                <w:bCs/>
                <w:szCs w:val="21"/>
                <w:lang w:val="en-US" w:eastAsia="zh-CN"/>
              </w:rPr>
              <w:t>2、网络层吞吐量≥1G，并发连接数≥150万，国密IPSec VPN吞吐量≥200M；</w:t>
            </w:r>
          </w:p>
          <w:p w14:paraId="711D84C3">
            <w:pPr>
              <w:jc w:val="left"/>
              <w:rPr>
                <w:rFonts w:hint="eastAsia" w:ascii="仿宋" w:hAnsi="仿宋" w:eastAsia="仿宋" w:cs="Times New Roman"/>
                <w:bCs/>
                <w:szCs w:val="21"/>
                <w:lang w:val="en-US" w:eastAsia="zh-CN"/>
              </w:rPr>
            </w:pPr>
            <w:r>
              <w:rPr>
                <w:rFonts w:hint="eastAsia" w:ascii="仿宋" w:hAnsi="仿宋" w:eastAsia="仿宋" w:cs="Times New Roman"/>
                <w:bCs/>
                <w:szCs w:val="21"/>
                <w:lang w:val="en-US" w:eastAsia="zh-CN"/>
              </w:rPr>
              <w:t>3、具备防病毒、防火墙、入侵防御IPS、URL 过滤、国密 VPN 等安全相关功能并提供软件及规则库 3 年更新授权和 3 年产品质保；</w:t>
            </w:r>
          </w:p>
          <w:p w14:paraId="716B0441">
            <w:pPr>
              <w:jc w:val="left"/>
              <w:rPr>
                <w:rFonts w:hint="eastAsia" w:ascii="仿宋" w:hAnsi="仿宋" w:eastAsia="仿宋" w:cs="Times New Roman"/>
                <w:bCs/>
                <w:szCs w:val="21"/>
                <w:lang w:val="en-US" w:eastAsia="zh-CN"/>
              </w:rPr>
            </w:pPr>
            <w:r>
              <w:rPr>
                <w:rFonts w:hint="eastAsia" w:ascii="仿宋" w:hAnsi="仿宋" w:eastAsia="仿宋" w:cs="Times New Roman"/>
                <w:bCs/>
                <w:szCs w:val="21"/>
                <w:lang w:val="en-US" w:eastAsia="zh-CN"/>
              </w:rPr>
              <w:t>4、无缝兼容接入安徽省疾控现有商密VPN专网，并接受省疾控VPN管理平台统一纳管和运维；</w:t>
            </w:r>
          </w:p>
          <w:p w14:paraId="6F9E497B">
            <w:pPr>
              <w:jc w:val="left"/>
              <w:rPr>
                <w:rFonts w:hint="eastAsia" w:ascii="仿宋" w:hAnsi="仿宋" w:eastAsia="仿宋" w:cstheme="minorBidi"/>
                <w:bCs/>
                <w:kern w:val="2"/>
                <w:sz w:val="21"/>
                <w:szCs w:val="21"/>
                <w:lang w:val="en-US" w:eastAsia="zh-CN" w:bidi="ar-SA"/>
              </w:rPr>
            </w:pPr>
            <w:r>
              <w:rPr>
                <w:rFonts w:hint="eastAsia" w:ascii="仿宋" w:hAnsi="仿宋" w:eastAsia="仿宋" w:cs="Times New Roman"/>
                <w:bCs/>
                <w:szCs w:val="21"/>
                <w:lang w:val="en-US" w:eastAsia="zh-CN"/>
              </w:rPr>
              <w:t>5、提供3年7*24小时专职技术人员远程服务。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F61D2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D8872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96DE9B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E9B23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D22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05B7C18F">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w:t>
            </w:r>
            <w:bookmarkStart w:id="0" w:name="_GoBack"/>
            <w:bookmarkEnd w:id="0"/>
          </w:p>
        </w:tc>
        <w:tc>
          <w:tcPr>
            <w:tcW w:w="1179" w:type="dxa"/>
            <w:tcBorders>
              <w:top w:val="single" w:color="auto" w:sz="4" w:space="0"/>
              <w:left w:val="single" w:color="auto" w:sz="4" w:space="0"/>
              <w:bottom w:val="single" w:color="auto" w:sz="4" w:space="0"/>
              <w:right w:val="single" w:color="auto" w:sz="4" w:space="0"/>
            </w:tcBorders>
            <w:noWrap w:val="0"/>
            <w:vAlign w:val="center"/>
          </w:tcPr>
          <w:p w14:paraId="4D186E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前置软件部署服务要求</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195C3065">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部署工作：收集数据集规范和传染病诊断规则采集表内容，部署前置软件，主要包括前置机到医院前操作系统、数据库、前置软件上架前初始化安装。</w:t>
            </w:r>
          </w:p>
          <w:p w14:paraId="44250DB3">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 xml:space="preserve"> 联调测试工作：医院对标化电子病历镜像库与前置软件电子病历厂商的指导评估确认、安全对接、集成调试，确保系统流程和功能正确。</w:t>
            </w:r>
          </w:p>
          <w:p w14:paraId="31BB45E9">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与国家平台联调：与国家疾控局前置软件数据集成服务平台联调工作，主要是国家考核任务对应数据集调试、对接、测试运行、正式运行培训等。</w:t>
            </w:r>
          </w:p>
          <w:p w14:paraId="6A90189C">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与省平台联调：与省统筹传染病监测预警与应急指挥信息平台对接联调工作：主要包括电子病历库初始化联调接入，质控核查，增量监控，预警模型训练初始化；传报卡，症候群、病原检测信息，可疑传染病电子病历与省统筹传染病自动采集系统联调对接等工作会。</w:t>
            </w:r>
          </w:p>
          <w:p w14:paraId="5C4B04DE">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运维工作：前置软件应用程序引起的前置服务器安全漏洞，日常运维监控等工作。</w:t>
            </w:r>
          </w:p>
          <w:p w14:paraId="1D90A19C">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培训工作：完成医疗机构的集中、远程培训工作，主要包括培训材料准备，培训课件的讲解、答疑等。</w:t>
            </w:r>
          </w:p>
          <w:p w14:paraId="1E68C573">
            <w:pPr>
              <w:keepNext w:val="0"/>
              <w:keepLines w:val="0"/>
              <w:widowControl/>
              <w:numPr>
                <w:ilvl w:val="0"/>
                <w:numId w:val="2"/>
              </w:numPr>
              <w:suppressLineNumbers w:val="0"/>
              <w:jc w:val="left"/>
              <w:rPr>
                <w:rFonts w:hint="eastAsia" w:ascii="仿宋" w:hAnsi="仿宋" w:eastAsia="仿宋" w:cstheme="minorBidi"/>
                <w:bCs/>
                <w:szCs w:val="21"/>
                <w:lang w:val="en-US" w:eastAsia="zh-CN"/>
              </w:rPr>
            </w:pPr>
            <w:r>
              <w:rPr>
                <w:rFonts w:hint="eastAsia" w:ascii="仿宋" w:hAnsi="仿宋" w:eastAsia="仿宋" w:cstheme="minorBidi"/>
                <w:bCs/>
                <w:szCs w:val="21"/>
                <w:lang w:val="en-US" w:eastAsia="zh-CN"/>
              </w:rPr>
              <w:t>免费提供三年内前置软件部署服务运维;</w:t>
            </w:r>
          </w:p>
          <w:p w14:paraId="5A63651E">
            <w:pPr>
              <w:jc w:val="left"/>
              <w:rPr>
                <w:rFonts w:hint="eastAsia" w:ascii="仿宋" w:hAnsi="仿宋" w:eastAsia="仿宋" w:cs="Times New Roman"/>
                <w:bCs/>
                <w:szCs w:val="21"/>
                <w:lang w:val="en-US" w:eastAsia="zh-CN"/>
              </w:rPr>
            </w:pPr>
            <w:r>
              <w:rPr>
                <w:rFonts w:hint="eastAsia" w:ascii="仿宋" w:hAnsi="仿宋" w:eastAsia="仿宋" w:cstheme="minorBidi"/>
                <w:bCs/>
                <w:szCs w:val="21"/>
                <w:lang w:val="en-US" w:eastAsia="zh-CN"/>
              </w:rPr>
              <w:t>信息化厂家推荐参照安徽省疾病预防控制局下发的《关于提供国家传染病智能监测预警前置软件部署与对接技术服务有关信息化公司的通知》的文件要求。</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3A1ACC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73607C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C3726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0A6486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bl>
    <w:p w14:paraId="3EFCBB8A">
      <w:pPr>
        <w:spacing w:line="280" w:lineRule="exact"/>
        <w:rPr>
          <w:rFonts w:hint="default" w:ascii="仿宋" w:hAnsi="仿宋" w:eastAsia="仿宋"/>
          <w:b/>
          <w:bCs/>
          <w:szCs w:val="21"/>
          <w:lang w:val="en-US" w:eastAsia="zh-CN"/>
        </w:rPr>
      </w:pPr>
      <w:r>
        <w:rPr>
          <w:rFonts w:hint="eastAsia" w:ascii="仿宋" w:hAnsi="仿宋" w:eastAsia="仿宋"/>
          <w:b/>
          <w:bCs/>
          <w:szCs w:val="21"/>
          <w:lang w:val="en-US" w:eastAsia="zh-CN"/>
        </w:rPr>
        <w:t>注：报价包括总价及分项报价表</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5C588D7"/>
    <w:multiLevelType w:val="singleLevel"/>
    <w:tmpl w:val="65C588D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9A1481"/>
    <w:rsid w:val="27E16F51"/>
    <w:rsid w:val="27FD740B"/>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A11D04"/>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B93792"/>
    <w:rsid w:val="36F1454D"/>
    <w:rsid w:val="37712166"/>
    <w:rsid w:val="37CF3484"/>
    <w:rsid w:val="37D710BC"/>
    <w:rsid w:val="37E17463"/>
    <w:rsid w:val="384637F8"/>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E95815"/>
    <w:rsid w:val="44364CD0"/>
    <w:rsid w:val="44472C6C"/>
    <w:rsid w:val="448E1FA2"/>
    <w:rsid w:val="44A122DD"/>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8E7945"/>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191F67"/>
    <w:rsid w:val="5D40525F"/>
    <w:rsid w:val="5D433C9B"/>
    <w:rsid w:val="5D5D061E"/>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38B00E1"/>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993FC4"/>
    <w:rsid w:val="69C433F1"/>
    <w:rsid w:val="6A163EBE"/>
    <w:rsid w:val="6A656DD9"/>
    <w:rsid w:val="6B0928F1"/>
    <w:rsid w:val="6B763559"/>
    <w:rsid w:val="6BA52303"/>
    <w:rsid w:val="6BD25C42"/>
    <w:rsid w:val="6BE3402B"/>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B92DBC"/>
    <w:rsid w:val="70CB34AB"/>
    <w:rsid w:val="70F17567"/>
    <w:rsid w:val="710A4F1D"/>
    <w:rsid w:val="71685DAD"/>
    <w:rsid w:val="718E6436"/>
    <w:rsid w:val="725F012C"/>
    <w:rsid w:val="727A01CC"/>
    <w:rsid w:val="72FD5CB8"/>
    <w:rsid w:val="73452A90"/>
    <w:rsid w:val="73586019"/>
    <w:rsid w:val="73622422"/>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3"/>
    <w:basedOn w:val="1"/>
    <w:unhideWhenUsed/>
    <w:qFormat/>
    <w:uiPriority w:val="99"/>
    <w:pPr>
      <w:spacing w:after="120"/>
    </w:pPr>
    <w:rPr>
      <w:rFonts w:ascii="Calibri" w:hAnsi="Calibri"/>
      <w:sz w:val="16"/>
      <w:szCs w:val="16"/>
      <w:lang w:val="zh-CN"/>
    </w:rPr>
  </w:style>
  <w:style w:type="paragraph" w:styleId="3">
    <w:name w:val="Normal Indent"/>
    <w:basedOn w:val="1"/>
    <w:autoRedefine/>
    <w:qFormat/>
    <w:uiPriority w:val="0"/>
    <w:pPr>
      <w:ind w:firstLine="420"/>
    </w:pPr>
    <w:rPr>
      <w:rFonts w:ascii="Calibri" w:hAnsi="Calibri" w:eastAsia="宋体" w:cs="Times New Roman"/>
    </w:rPr>
  </w:style>
  <w:style w:type="paragraph" w:styleId="4">
    <w:name w:val="Body Text"/>
    <w:basedOn w:val="1"/>
    <w:autoRedefine/>
    <w:qFormat/>
    <w:uiPriority w:val="0"/>
    <w:pPr>
      <w:spacing w:after="120"/>
    </w:pPr>
  </w:style>
  <w:style w:type="paragraph" w:styleId="5">
    <w:name w:val="footer"/>
    <w:basedOn w:val="1"/>
    <w:link w:val="14"/>
    <w:autoRedefine/>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autoRedefine/>
    <w:unhideWhenUsed/>
    <w:qFormat/>
    <w:uiPriority w:val="99"/>
    <w:pPr>
      <w:ind w:firstLine="420" w:firstLineChars="100"/>
    </w:pPr>
    <w:rPr>
      <w:rFonts w:ascii="Times New Roman" w:hAnsi="Times New Roman"/>
      <w:kern w:val="0"/>
      <w:sz w:val="20"/>
      <w:szCs w:val="20"/>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style4"/>
    <w:basedOn w:val="1"/>
    <w:next w:val="12"/>
    <w:autoRedefine/>
    <w:qFormat/>
    <w:uiPriority w:val="0"/>
    <w:pPr>
      <w:widowControl/>
      <w:spacing w:before="280" w:after="280"/>
    </w:pPr>
    <w:rPr>
      <w:rFonts w:ascii="宋体" w:hAnsi="Times New Roman" w:eastAsia="宋体" w:cs="Times New Roman"/>
      <w:sz w:val="18"/>
    </w:rPr>
  </w:style>
  <w:style w:type="paragraph" w:customStyle="1" w:styleId="12">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 w:type="paragraph" w:customStyle="1" w:styleId="17">
    <w:name w:val="Table Paragraph"/>
    <w:basedOn w:val="1"/>
    <w:autoRedefine/>
    <w:qFormat/>
    <w:uiPriority w:val="1"/>
    <w:rPr>
      <w:rFonts w:ascii="Times New Roman" w:hAnsi="Times New Roman" w:eastAsia="宋体" w:cs="Times New Roman"/>
      <w:sz w:val="24"/>
      <w:szCs w:val="20"/>
    </w:rPr>
  </w:style>
  <w:style w:type="paragraph" w:customStyle="1" w:styleId="18">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19">
    <w:name w:val="List Paragraph"/>
    <w:basedOn w:val="1"/>
    <w:autoRedefine/>
    <w:qFormat/>
    <w:uiPriority w:val="34"/>
    <w:pPr>
      <w:ind w:firstLine="420" w:firstLineChars="200"/>
    </w:pPr>
  </w:style>
  <w:style w:type="character" w:customStyle="1" w:styleId="20">
    <w:name w:val="font11"/>
    <w:basedOn w:val="10"/>
    <w:qFormat/>
    <w:uiPriority w:val="0"/>
    <w:rPr>
      <w:rFonts w:hint="eastAsia" w:ascii="宋体" w:hAnsi="宋体" w:eastAsia="宋体" w:cs="宋体"/>
      <w:color w:val="000000"/>
      <w:sz w:val="21"/>
      <w:szCs w:val="21"/>
      <w:u w:val="none"/>
    </w:rPr>
  </w:style>
  <w:style w:type="character" w:customStyle="1" w:styleId="21">
    <w:name w:val="font21"/>
    <w:basedOn w:val="10"/>
    <w:qFormat/>
    <w:uiPriority w:val="0"/>
    <w:rPr>
      <w:rFonts w:hint="eastAsia" w:ascii="宋体" w:hAnsi="宋体" w:eastAsia="宋体" w:cs="宋体"/>
      <w:strike/>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5142</Words>
  <Characters>5270</Characters>
  <Lines>6</Lines>
  <Paragraphs>1</Paragraphs>
  <TotalTime>0</TotalTime>
  <ScaleCrop>false</ScaleCrop>
  <LinksUpToDate>false</LinksUpToDate>
  <CharactersWithSpaces>5410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2025-04-09T02:26:47Z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eyJoZGlkIjoiZjA2ZDk2ZDczZTRiYmUwYTE2ZjY2MTNhNzQ1OTE5YzEiLCJ1c2VySWQiOiI1MzM2NDQxMzEifQ==</vt:lpwstr>
  </property>
</Properties>
</file>