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38D36">
      <w:pPr>
        <w:spacing w:line="320" w:lineRule="exact"/>
        <w:jc w:val="center"/>
        <w:rPr>
          <w:rFonts w:hint="eastAsia" w:asciiTheme="majorEastAsia" w:hAnsiTheme="majorEastAsia" w:eastAsiaTheme="majorEastAsia"/>
          <w:b/>
          <w:sz w:val="32"/>
          <w:szCs w:val="32"/>
          <w:lang w:val="en-US" w:eastAsia="zh-CN"/>
        </w:rPr>
      </w:pPr>
      <w:r>
        <w:rPr>
          <w:rFonts w:hint="eastAsia" w:asciiTheme="majorEastAsia" w:hAnsiTheme="majorEastAsia" w:eastAsiaTheme="majorEastAsia"/>
          <w:b/>
          <w:sz w:val="32"/>
          <w:szCs w:val="32"/>
        </w:rPr>
        <w:t>附件：拟购</w:t>
      </w:r>
      <w:r>
        <w:rPr>
          <w:rFonts w:hint="eastAsia" w:asciiTheme="majorEastAsia" w:hAnsiTheme="majorEastAsia" w:eastAsiaTheme="majorEastAsia"/>
          <w:b/>
          <w:sz w:val="32"/>
          <w:szCs w:val="32"/>
          <w:lang w:val="en-US" w:eastAsia="zh-CN"/>
        </w:rPr>
        <w:t>六安市中医院离线存储及网络安全态势感知服务项目</w:t>
      </w:r>
    </w:p>
    <w:p w14:paraId="3C91DA15">
      <w:pPr>
        <w:spacing w:line="320" w:lineRule="exact"/>
        <w:jc w:val="center"/>
        <w:rPr>
          <w:rFonts w:ascii="仿宋" w:hAnsi="仿宋" w:eastAsia="仿宋"/>
          <w:sz w:val="32"/>
          <w:szCs w:val="32"/>
        </w:rPr>
      </w:pPr>
      <w:r>
        <w:rPr>
          <w:rFonts w:hint="eastAsia" w:asciiTheme="majorEastAsia" w:hAnsiTheme="majorEastAsia" w:eastAsiaTheme="majorEastAsia"/>
          <w:b/>
          <w:sz w:val="32"/>
          <w:szCs w:val="32"/>
          <w:lang w:val="en-US" w:eastAsia="zh-CN"/>
        </w:rPr>
        <w:t>（第三</w:t>
      </w:r>
      <w:bookmarkStart w:id="0" w:name="_GoBack"/>
      <w:bookmarkEnd w:id="0"/>
      <w:r>
        <w:rPr>
          <w:rFonts w:hint="eastAsia" w:asciiTheme="majorEastAsia" w:hAnsiTheme="majorEastAsia" w:eastAsiaTheme="majorEastAsia"/>
          <w:b/>
          <w:sz w:val="32"/>
          <w:szCs w:val="32"/>
          <w:lang w:val="en-US" w:eastAsia="zh-CN"/>
        </w:rPr>
        <w:t>次）</w:t>
      </w:r>
      <w:r>
        <w:rPr>
          <w:rFonts w:hint="eastAsia" w:asciiTheme="majorEastAsia" w:hAnsiTheme="majorEastAsia" w:eastAsiaTheme="majorEastAsia"/>
          <w:b/>
          <w:sz w:val="32"/>
          <w:szCs w:val="32"/>
        </w:rPr>
        <w:t>初步参数论证征集意见表</w:t>
      </w:r>
    </w:p>
    <w:p w14:paraId="7CAAF30E">
      <w:pPr>
        <w:spacing w:line="320" w:lineRule="exact"/>
        <w:rPr>
          <w:rFonts w:ascii="仿宋" w:hAnsi="仿宋" w:eastAsia="仿宋"/>
          <w:sz w:val="24"/>
          <w:szCs w:val="24"/>
        </w:rPr>
      </w:pPr>
    </w:p>
    <w:p w14:paraId="5B830259">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70AD62E6">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12E4BE73">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51FF7342">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F3F6B49">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3912D54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B979AC">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254AA2B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5A58054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7417E498">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00355730">
      <w:pPr>
        <w:spacing w:line="320" w:lineRule="exact"/>
        <w:rPr>
          <w:rFonts w:hint="eastAsia" w:ascii="仿宋" w:hAnsi="仿宋" w:eastAsia="仿宋"/>
          <w:b/>
          <w:szCs w:val="21"/>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9"/>
        <w:tblW w:w="10995" w:type="dxa"/>
        <w:tblInd w:w="-5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1080"/>
        <w:gridCol w:w="6210"/>
        <w:gridCol w:w="735"/>
        <w:gridCol w:w="765"/>
        <w:gridCol w:w="645"/>
        <w:gridCol w:w="878"/>
      </w:tblGrid>
      <w:tr w14:paraId="4E66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707" w:type="dxa"/>
            <w:gridSpan w:val="4"/>
            <w:tcBorders>
              <w:top w:val="single" w:color="000000" w:sz="4" w:space="0"/>
              <w:left w:val="single" w:color="000000" w:sz="4" w:space="0"/>
              <w:bottom w:val="single" w:color="000000" w:sz="4" w:space="0"/>
              <w:right w:val="single" w:color="000000" w:sz="4" w:space="0"/>
            </w:tcBorders>
            <w:noWrap w:val="0"/>
            <w:vAlign w:val="center"/>
          </w:tcPr>
          <w:p w14:paraId="07F1CADA">
            <w:pPr>
              <w:keepNext w:val="0"/>
              <w:keepLines w:val="0"/>
              <w:widowControl/>
              <w:suppressLineNumbers w:val="0"/>
              <w:jc w:val="center"/>
              <w:textAlignment w:val="center"/>
              <w:rPr>
                <w:rFonts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本项目初步参数拟设置情况</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4334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响应情况</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521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建议修改指标</w:t>
            </w:r>
          </w:p>
        </w:tc>
        <w:tc>
          <w:tcPr>
            <w:tcW w:w="878" w:type="dxa"/>
            <w:vMerge w:val="restart"/>
            <w:tcBorders>
              <w:top w:val="single" w:color="000000" w:sz="4" w:space="0"/>
              <w:left w:val="single" w:color="000000" w:sz="4" w:space="0"/>
              <w:bottom w:val="single" w:color="000000" w:sz="4" w:space="0"/>
              <w:right w:val="single" w:color="000000" w:sz="4" w:space="0"/>
            </w:tcBorders>
            <w:noWrap w:val="0"/>
            <w:vAlign w:val="center"/>
          </w:tcPr>
          <w:p w14:paraId="426528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备注（真实指标、是否独家、是否提供有效检测报告）</w:t>
            </w:r>
          </w:p>
        </w:tc>
      </w:tr>
      <w:tr w14:paraId="1F2B3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tcBorders>
              <w:top w:val="single" w:color="000000" w:sz="4" w:space="0"/>
              <w:left w:val="single" w:color="000000" w:sz="4" w:space="0"/>
              <w:bottom w:val="single" w:color="000000" w:sz="4" w:space="0"/>
              <w:right w:val="single" w:color="000000" w:sz="4" w:space="0"/>
            </w:tcBorders>
            <w:noWrap w:val="0"/>
            <w:vAlign w:val="center"/>
          </w:tcPr>
          <w:p w14:paraId="259D1300">
            <w:pPr>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项目名称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5F506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参数名称</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5D188EF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初步参数设置情况</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031DC4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是否设置为★</w:t>
            </w: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5B8045">
            <w:pPr>
              <w:jc w:val="center"/>
              <w:rPr>
                <w:rFonts w:hint="eastAsia" w:ascii="仿宋" w:hAnsi="仿宋" w:eastAsia="仿宋" w:cs="仿宋"/>
                <w:i w:val="0"/>
                <w:iCs w:val="0"/>
                <w:color w:val="000000"/>
                <w:sz w:val="21"/>
                <w:szCs w:val="21"/>
                <w:u w:val="none"/>
              </w:rPr>
            </w:pP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00869">
            <w:pPr>
              <w:jc w:val="center"/>
              <w:rPr>
                <w:rFonts w:hint="eastAsia" w:ascii="仿宋" w:hAnsi="仿宋" w:eastAsia="仿宋" w:cs="仿宋"/>
                <w:i w:val="0"/>
                <w:iCs w:val="0"/>
                <w:color w:val="000000"/>
                <w:sz w:val="21"/>
                <w:szCs w:val="21"/>
                <w:u w:val="none"/>
              </w:rPr>
            </w:pPr>
          </w:p>
        </w:tc>
        <w:tc>
          <w:tcPr>
            <w:tcW w:w="8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9CDC0">
            <w:pPr>
              <w:jc w:val="center"/>
              <w:rPr>
                <w:rFonts w:hint="eastAsia" w:ascii="仿宋" w:hAnsi="仿宋" w:eastAsia="仿宋" w:cs="仿宋"/>
                <w:i w:val="0"/>
                <w:iCs w:val="0"/>
                <w:color w:val="000000"/>
                <w:sz w:val="21"/>
                <w:szCs w:val="21"/>
                <w:u w:val="none"/>
              </w:rPr>
            </w:pPr>
          </w:p>
        </w:tc>
      </w:tr>
      <w:tr w14:paraId="1716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restart"/>
            <w:tcBorders>
              <w:top w:val="single" w:color="000000" w:sz="4" w:space="0"/>
              <w:left w:val="single" w:color="000000" w:sz="4" w:space="0"/>
              <w:bottom w:val="single" w:color="000000" w:sz="4" w:space="0"/>
              <w:right w:val="single" w:color="000000" w:sz="4" w:space="0"/>
            </w:tcBorders>
            <w:noWrap w:val="0"/>
            <w:vAlign w:val="center"/>
          </w:tcPr>
          <w:p w14:paraId="09583DE1">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50E3DF6A">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03395B10">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3B535D76">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1259B11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7C54F11B">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p w14:paraId="7B51110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离线存储服务</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B11F5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i w:val="0"/>
                <w:iCs w:val="0"/>
                <w:color w:val="000000"/>
                <w:kern w:val="0"/>
                <w:sz w:val="21"/>
                <w:szCs w:val="21"/>
                <w:u w:val="none"/>
                <w:lang w:val="en-US" w:eastAsia="zh-CN" w:bidi="ar"/>
              </w:rPr>
            </w:pPr>
            <w:r>
              <w:rPr>
                <w:rFonts w:hint="eastAsia"/>
              </w:rPr>
              <w:t>磁带库</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6EA7F1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1.所供设备需为完全适配院内在用的容灾备份一体机（科力锐数据与备份恢复系统）。</w:t>
            </w:r>
          </w:p>
          <w:p w14:paraId="5C8C0D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2.可离线备份容量≥200TB。</w:t>
            </w:r>
          </w:p>
          <w:p w14:paraId="6AD15D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3.磁带库放置方式：机架式，可安装标准服务器机柜。</w:t>
            </w:r>
          </w:p>
          <w:p w14:paraId="11D9219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4.支持目前主流的LTO9、LTO8等磁带机技术。</w:t>
            </w:r>
          </w:p>
          <w:p w14:paraId="613717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5.连接方式（接口类型）:</w:t>
            </w:r>
          </w:p>
          <w:p w14:paraId="095DF91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具备SCSI接口，支持包括SAS（6Gb适用LTO-8）（12Gb 适用于LTO9），配备 SFF-8088 连接器；</w:t>
            </w:r>
          </w:p>
          <w:p w14:paraId="7E4FE1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具备光纤通道接口（FC接口）接口，支持包括 FC（8Gb，适用于 LTO9，8，7），配备 LC 连接器；</w:t>
            </w:r>
          </w:p>
          <w:p w14:paraId="56558E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单独提供一块相同速率FC板卡，用于备份系统服务器使用。</w:t>
            </w:r>
          </w:p>
          <w:p w14:paraId="27B0AC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6.单台磁带库可支持磁带盘数量≥40；磁带库支持磁带故柜、可支持扩展后槽位数量≥640。</w:t>
            </w:r>
          </w:p>
          <w:p w14:paraId="550FD6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7.单台磁带机非压缩数据传输速率：持续数据传输率≥300MB/S。</w:t>
            </w:r>
          </w:p>
          <w:p w14:paraId="0A43C2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eastAsia="宋体"/>
                <w:color w:val="000000" w:themeColor="text1"/>
                <w:lang w:val="en-US" w:eastAsia="zh-CN"/>
                <w14:textFill>
                  <w14:solidFill>
                    <w14:schemeClr w14:val="tx1"/>
                  </w14:solidFill>
                </w14:textFill>
              </w:rPr>
              <w:t>8.要求设备具备自动告警和分析功能，能够自动分析设备在运行过程中的告警信息，提供自动分析后的故障报告。</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60D14B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AF99BBA">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84F9B03">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C4A4BDE">
            <w:pPr>
              <w:jc w:val="center"/>
              <w:rPr>
                <w:rFonts w:hint="eastAsia" w:ascii="仿宋" w:hAnsi="仿宋" w:eastAsia="仿宋" w:cs="仿宋"/>
                <w:i w:val="0"/>
                <w:iCs w:val="0"/>
                <w:color w:val="000000"/>
                <w:sz w:val="21"/>
                <w:szCs w:val="21"/>
                <w:u w:val="none"/>
              </w:rPr>
            </w:pPr>
          </w:p>
        </w:tc>
      </w:tr>
      <w:tr w14:paraId="0FE10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592013">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66AE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val="0"/>
                <w:bCs/>
                <w:i w:val="0"/>
                <w:iCs w:val="0"/>
                <w:color w:val="000000"/>
                <w:kern w:val="0"/>
                <w:sz w:val="21"/>
                <w:szCs w:val="21"/>
                <w:u w:val="none"/>
                <w:lang w:val="en-US" w:eastAsia="zh-CN" w:bidi="ar"/>
              </w:rPr>
            </w:pPr>
            <w:r>
              <w:rPr>
                <w:rFonts w:hint="eastAsia" w:ascii="仿宋" w:hAnsi="仿宋" w:eastAsia="宋体" w:cs="Times New Roman"/>
                <w:b w:val="0"/>
                <w:bCs/>
                <w:sz w:val="21"/>
                <w:szCs w:val="21"/>
                <w:lang w:val="en-US" w:eastAsia="zh-CN"/>
              </w:rPr>
              <w:t>磁带</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2432BA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9.</w:t>
            </w:r>
            <w:r>
              <w:rPr>
                <w:rFonts w:hint="eastAsia"/>
                <w:color w:val="000000" w:themeColor="text1"/>
                <w14:textFill>
                  <w14:solidFill>
                    <w14:schemeClr w14:val="tx1"/>
                  </w14:solidFill>
                </w14:textFill>
              </w:rPr>
              <w:t xml:space="preserve">配置LTO 8 磁带 </w:t>
            </w:r>
            <w:r>
              <w:rPr>
                <w:rFonts w:hint="eastAsia"/>
                <w:color w:val="000000" w:themeColor="text1"/>
                <w:lang w:val="en-US" w:eastAsia="zh-CN"/>
                <w14:textFill>
                  <w14:solidFill>
                    <w14:schemeClr w14:val="tx1"/>
                  </w14:solidFill>
                </w14:textFill>
              </w:rPr>
              <w:t>≥18</w:t>
            </w:r>
            <w:r>
              <w:rPr>
                <w:rFonts w:hint="eastAsia"/>
                <w:color w:val="000000" w:themeColor="text1"/>
                <w14:textFill>
                  <w14:solidFill>
                    <w14:schemeClr w14:val="tx1"/>
                  </w14:solidFill>
                </w14:textFill>
              </w:rPr>
              <w:t>盘（含标签），清洗磁带</w:t>
            </w:r>
            <w:r>
              <w:rPr>
                <w:rFonts w:hint="eastAsia"/>
                <w:color w:val="000000" w:themeColor="text1"/>
                <w:lang w:val="en-US" w:eastAsia="zh-CN"/>
                <w14:textFill>
                  <w14:solidFill>
                    <w14:schemeClr w14:val="tx1"/>
                  </w14:solidFill>
                </w14:textFill>
              </w:rPr>
              <w:t>≥</w:t>
            </w:r>
            <w:r>
              <w:rPr>
                <w:rFonts w:hint="eastAsia"/>
                <w:color w:val="000000" w:themeColor="text1"/>
                <w14:textFill>
                  <w14:solidFill>
                    <w14:schemeClr w14:val="tx1"/>
                  </w14:solidFill>
                </w14:textFill>
              </w:rPr>
              <w:t>1盘</w:t>
            </w:r>
            <w:r>
              <w:rPr>
                <w:rFonts w:hint="eastAsia"/>
                <w:color w:val="000000" w:themeColor="text1"/>
                <w:lang w:eastAsia="zh-CN"/>
                <w14:textFill>
                  <w14:solidFill>
                    <w14:schemeClr w14:val="tx1"/>
                  </w14:solidFill>
                </w14:textFill>
              </w:rPr>
              <w:t>。</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1C6199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EA99E75">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5CBE1B0">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657E0AFD">
            <w:pPr>
              <w:jc w:val="center"/>
              <w:rPr>
                <w:rFonts w:hint="eastAsia" w:ascii="仿宋" w:hAnsi="仿宋" w:eastAsia="仿宋" w:cs="仿宋"/>
                <w:i w:val="0"/>
                <w:iCs w:val="0"/>
                <w:color w:val="000000"/>
                <w:sz w:val="21"/>
                <w:szCs w:val="21"/>
                <w:u w:val="none"/>
              </w:rPr>
            </w:pPr>
          </w:p>
        </w:tc>
      </w:tr>
      <w:tr w14:paraId="4A974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5B1CCC">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 w:hAnsi="仿宋" w:eastAsia="仿宋" w:cs="仿宋"/>
                <w:i w:val="0"/>
                <w:iCs w:val="0"/>
                <w:color w:val="000000"/>
                <w:sz w:val="21"/>
                <w:szCs w:val="21"/>
                <w:u w:val="none"/>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FEB79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宋体" w:cs="Times New Roman"/>
                <w:b w:val="0"/>
                <w:bCs/>
                <w:sz w:val="21"/>
                <w:szCs w:val="21"/>
                <w:lang w:val="en-US" w:eastAsia="zh-CN"/>
              </w:rPr>
            </w:pPr>
            <w:r>
              <w:rPr>
                <w:rFonts w:hint="eastAsia" w:ascii="仿宋" w:hAnsi="仿宋" w:eastAsia="宋体" w:cs="Times New Roman"/>
                <w:b w:val="0"/>
                <w:bCs/>
                <w:sz w:val="21"/>
                <w:szCs w:val="21"/>
                <w:lang w:val="en-US" w:eastAsia="zh-CN"/>
              </w:rPr>
              <w:t>其他</w:t>
            </w:r>
          </w:p>
          <w:p w14:paraId="5304B5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val="0"/>
                <w:bCs/>
                <w:i w:val="0"/>
                <w:iCs w:val="0"/>
                <w:color w:val="000000"/>
                <w:kern w:val="0"/>
                <w:sz w:val="21"/>
                <w:szCs w:val="21"/>
                <w:u w:val="none"/>
                <w:lang w:val="en-US" w:eastAsia="zh-CN" w:bidi="ar"/>
              </w:rPr>
            </w:pPr>
            <w:r>
              <w:rPr>
                <w:rFonts w:hint="eastAsia" w:ascii="仿宋" w:hAnsi="仿宋" w:eastAsia="宋体" w:cs="Times New Roman"/>
                <w:b w:val="0"/>
                <w:bCs/>
                <w:sz w:val="21"/>
                <w:szCs w:val="21"/>
                <w:lang w:val="en-US" w:eastAsia="zh-CN"/>
              </w:rPr>
              <w:t>要求</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3A98B19F">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10.项目实施前需进行离线存储设备的备份与恢复测试，若未达到上述参数提及的功能要求，采购方有权终止此次项目。</w:t>
            </w:r>
          </w:p>
          <w:p w14:paraId="16C44083">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11.项目服务团队进场后，需明确服务项目经理及服务项目实施方案和维保服务方案。</w:t>
            </w:r>
          </w:p>
          <w:p w14:paraId="72D5353D">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12.本次服务项目提供的离线存储设备，需配备上述参数提及的所有功能，无需其他任何额外收费。</w:t>
            </w:r>
          </w:p>
          <w:p w14:paraId="75D8BD4A">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13.服务期内提供每年不少于四次的医院信息系统容灾应急演练，离线存储恢复现场支持等服务。</w:t>
            </w:r>
          </w:p>
          <w:p w14:paraId="24CBBC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14.服务周期内提供原厂硬件质保及软件维保服务。</w:t>
            </w:r>
          </w:p>
          <w:p w14:paraId="63FAD2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15.年度服务周期结束后，经评估考核合格后，续签第二年度服务合同。（最多续签2次）</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D8E64A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DA05F9A">
            <w:pPr>
              <w:jc w:val="center"/>
              <w:rPr>
                <w:rFonts w:hint="eastAsia" w:ascii="仿宋" w:hAnsi="仿宋" w:eastAsia="仿宋" w:cs="仿宋"/>
                <w:i w:val="0"/>
                <w:iCs w:val="0"/>
                <w:color w:val="000000"/>
                <w:sz w:val="21"/>
                <w:szCs w:val="21"/>
                <w:u w:val="none"/>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B9EDBB1">
            <w:pPr>
              <w:jc w:val="center"/>
              <w:rPr>
                <w:rFonts w:hint="eastAsia" w:ascii="仿宋" w:hAnsi="仿宋" w:eastAsia="仿宋" w:cs="仿宋"/>
                <w:i w:val="0"/>
                <w:iCs w:val="0"/>
                <w:color w:val="000000"/>
                <w:sz w:val="21"/>
                <w:szCs w:val="21"/>
                <w:u w:val="none"/>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368C72E7">
            <w:pPr>
              <w:jc w:val="center"/>
              <w:rPr>
                <w:rFonts w:hint="eastAsia" w:ascii="仿宋" w:hAnsi="仿宋" w:eastAsia="仿宋" w:cs="仿宋"/>
                <w:i w:val="0"/>
                <w:iCs w:val="0"/>
                <w:color w:val="000000"/>
                <w:sz w:val="21"/>
                <w:szCs w:val="21"/>
                <w:u w:val="none"/>
              </w:rPr>
            </w:pPr>
          </w:p>
        </w:tc>
      </w:tr>
      <w:tr w14:paraId="2DBB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restart"/>
            <w:tcBorders>
              <w:top w:val="single" w:color="000000" w:sz="4" w:space="0"/>
              <w:left w:val="single" w:color="000000" w:sz="4" w:space="0"/>
              <w:right w:val="single" w:color="000000" w:sz="4" w:space="0"/>
            </w:tcBorders>
            <w:noWrap w:val="0"/>
            <w:vAlign w:val="center"/>
          </w:tcPr>
          <w:p w14:paraId="51386957">
            <w:pPr>
              <w:bidi w:val="0"/>
              <w:jc w:val="center"/>
              <w:rPr>
                <w:rFonts w:hint="default"/>
                <w:lang w:val="en-US" w:eastAsia="zh-CN"/>
              </w:rPr>
            </w:pPr>
            <w:r>
              <w:rPr>
                <w:rFonts w:hint="eastAsia"/>
                <w:lang w:val="en-US" w:eastAsia="zh-CN"/>
              </w:rPr>
              <w:t>网络安全态势感知服务</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C3E77C8">
            <w:pPr>
              <w:bidi w:val="0"/>
              <w:rPr>
                <w:rFonts w:hint="eastAsia"/>
                <w:lang w:val="en-US" w:eastAsia="zh-CN"/>
              </w:rPr>
            </w:pPr>
            <w:r>
              <w:rPr>
                <w:rFonts w:hint="eastAsia" w:ascii="仿宋" w:hAnsi="仿宋" w:eastAsia="宋体" w:cs="Times New Roman"/>
                <w:b w:val="0"/>
                <w:bCs/>
                <w:sz w:val="21"/>
                <w:szCs w:val="21"/>
                <w:lang w:val="en-US" w:eastAsia="zh-CN"/>
              </w:rPr>
              <w:t>安全态势感知平台</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13940832">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1.设备硬件规格要求：所供设备均满足国家信创国产化相关政策要求、标配≥2颗国产化CPU（24C），主频≥ 2.5GHz，内存≥128GB，系统盘≥1*480GB SSD，数据盘≥8*4T企业级机械硬盘，配备冗余电源，接口≥4千兆电口，≥2个万兆光口，配备四个万兆光模块。</w:t>
            </w:r>
          </w:p>
          <w:p w14:paraId="37A944C9">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2.性能要求：日接入日志量不低于2.5亿条/天，峰值不低于12000条/秒，带宽性能1Gbps时存储时长不少于1500天/1Gbps；</w:t>
            </w:r>
          </w:p>
          <w:p w14:paraId="35C42977">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具备主机类资产识别能力，支持在统一页面中展示资产的IP、MAC地址、主机名称、服务端口、资产责任人等详细情况。提供操作系统、数据库、ftp等多种类型弱口令策略功能或包含白名单、XDR规则、SIME模型、告警加白策略、本地情报内容管理等配置管理功能；</w:t>
            </w:r>
          </w:p>
          <w:p w14:paraId="00BD1043">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提供整体展示资产漏洞情况、（包含漏洞风险或配置风险或弱密码或web明文传输或脆弱性风险分析等能力，提供第三方漏扫报告导入和解析能力或支持自定义流量检测规则，可配置协议类型、规则名称、威胁等级、特征、匹配模式、攻击源等字段或支持自定义流量检测规则，可配置协议类型、规则名称、威胁等级、特征、匹配模式、攻击源等字段；</w:t>
            </w:r>
          </w:p>
          <w:p w14:paraId="5D764E06">
            <w:pPr>
              <w:bidi w:val="0"/>
              <w:rPr>
                <w:rFonts w:hint="eastAsia"/>
                <w:lang w:eastAsia="zh-CN"/>
              </w:rPr>
            </w:pPr>
            <w:r>
              <w:rPr>
                <w:rFonts w:hint="eastAsia"/>
                <w:color w:val="000000" w:themeColor="text1"/>
                <w:lang w:val="en-US" w:eastAsia="zh-CN"/>
                <w14:textFill>
                  <w14:solidFill>
                    <w14:schemeClr w14:val="tx1"/>
                  </w14:solidFill>
                </w14:textFill>
              </w:rPr>
              <w:t>5.具备可视化分析能力，提供大屏展示、大数据分析和关联检索技术。支持通过首页搜索框输入IP/域名/URL/端口等进行搜索。提供入口点溯源功能，支持分析出首次失陷或疑似入口点或首次遭受攻击等信息或</w:t>
            </w:r>
            <w:r>
              <w:rPr>
                <w:rFonts w:hint="eastAsia"/>
              </w:rPr>
              <w:t>支持根据消息类型进行消息的快速过滤，对于消息进行已读标记和详情展开</w:t>
            </w:r>
            <w:r>
              <w:rPr>
                <w:rFonts w:hint="eastAsia"/>
                <w:lang w:eastAsia="zh-CN"/>
              </w:rPr>
              <w:t>；</w:t>
            </w:r>
          </w:p>
          <w:p w14:paraId="60619970">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6.配置挖矿病毒的全面检测，支持挖矿实时检测和挖矿检测分析结果，支持基于攻击阶段展示挖矿主机数量和溯源处置；</w:t>
            </w:r>
          </w:p>
          <w:p w14:paraId="5639DE15">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具备实时告警分析能力，支持网络安全攻防演练备战阶段的对外服务器外网暴露面分析、内网服务器暴露面分析或支持实战阶段的实时告警分析和攻击者分析，支持全过程可视溯源分析或支持或安全知识库支持系统输入安全知识和实际发生的安全案例，不限定内容，包括用户环境内的特殊场景、特殊规定，以语言描述的形式输入到系统供留存，帮助用户记录和总结内部安全知识和安全案例；</w:t>
            </w:r>
          </w:p>
          <w:p w14:paraId="7163F13E">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8.为更好利旧我院现有设备，态势感知平台须支持与我院现有的网络安全设备进行对接、联动，无需额外费用；</w:t>
            </w:r>
          </w:p>
          <w:p w14:paraId="28EF63B4">
            <w:pPr>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9.配备网络安全相关知识库或实际发生的安全案例，帮助用户记录和总结内部安全知识和安全案例；</w:t>
            </w:r>
          </w:p>
          <w:p w14:paraId="5E2EBCDE">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lang w:val="en-US" w:eastAsia="zh-CN"/>
              </w:rPr>
              <w:t>配备漏洞扫描功能，通过相关扫描和评估工具以本地扫描的方式对院内信息系统和网络进行安全扫描，从内网和外网两个角度来查找网络结构、网络设备、服务器主机、数据和用户帐号/口令等安全对像目标存在的安全风险、漏洞和威胁。针对服务范围内资产扫描到的高危可利用漏洞，不限于为使用方提供漏洞修复方案和安全设备防护策略，保证使用方不因此出现重大事件和损失。</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21952ADC">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091F4CA">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0DB067C0">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120AA87A">
            <w:pPr>
              <w:bidi w:val="0"/>
              <w:rPr>
                <w:rFonts w:hint="eastAsia"/>
                <w:lang w:val="en-US" w:eastAsia="zh-CN"/>
              </w:rPr>
            </w:pPr>
          </w:p>
        </w:tc>
      </w:tr>
      <w:tr w14:paraId="12152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left w:val="single" w:color="000000" w:sz="4" w:space="0"/>
              <w:right w:val="single" w:color="000000" w:sz="4" w:space="0"/>
            </w:tcBorders>
            <w:noWrap w:val="0"/>
            <w:vAlign w:val="center"/>
          </w:tcPr>
          <w:p w14:paraId="53A90344">
            <w:pPr>
              <w:bidi w:val="0"/>
              <w:rPr>
                <w:rFonts w:hint="eastAsia"/>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AC52E2A">
            <w:pPr>
              <w:bidi w:val="0"/>
              <w:rPr>
                <w:rFonts w:hint="eastAsia"/>
                <w:lang w:val="en-US" w:eastAsia="zh-CN"/>
              </w:rPr>
            </w:pPr>
            <w:r>
              <w:rPr>
                <w:rFonts w:hint="eastAsia" w:ascii="仿宋" w:hAnsi="仿宋" w:eastAsia="宋体" w:cs="Times New Roman"/>
                <w:b w:val="0"/>
                <w:bCs/>
                <w:sz w:val="21"/>
                <w:szCs w:val="21"/>
                <w:lang w:val="en-US" w:eastAsia="zh-CN"/>
              </w:rPr>
              <w:t>流量探针（一）</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4423547B">
            <w:pPr>
              <w:bidi w:val="0"/>
              <w:rPr>
                <w:rFonts w:hint="eastAsia"/>
                <w:lang w:val="en-US" w:eastAsia="zh-CN"/>
              </w:rPr>
            </w:pPr>
            <w:r>
              <w:rPr>
                <w:rFonts w:hint="eastAsia"/>
                <w:lang w:val="en-US" w:eastAsia="zh-CN"/>
              </w:rPr>
              <w:t>11.硬件规格要求为：所供设备均满足国家信创国产化相关政策要求，标配国产化CPU，内存≥8GB，硬盘容量≥128GB SSD或“4TB企业级存储硬盘”，接口≥4千兆电口；本次需为使用方提供的服务组件性能要求为网络层吞吐量≥1Gbps，应用层吞吐量≥500Mbps；</w:t>
            </w:r>
          </w:p>
          <w:p w14:paraId="6A6B3980">
            <w:pPr>
              <w:bidi w:val="0"/>
              <w:rPr>
                <w:rFonts w:hint="eastAsia"/>
                <w:lang w:val="en-US" w:eastAsia="zh-CN"/>
              </w:rPr>
            </w:pPr>
            <w:r>
              <w:rPr>
                <w:rFonts w:hint="eastAsia"/>
                <w:lang w:val="en-US" w:eastAsia="zh-CN"/>
              </w:rPr>
              <w:t>12.支持通过分流器抓取内网边界出口网络区域流量和互联网出口区域流量。支持对多种网络流量中主流协议进行识别和深度解析，用于取证分析、威胁发现，支持协议包括：HTTP、DNS、SMB、NFS、FTP、tftp、DHCP、ICMP、NTP、HTTPS（SSL）、数据库协议（SQL Server、Mysql、DB2、Oracle、Redis）、路由协议（RIP、OSPF）、远程管理协议（SSH、RDP、Telnet、VNC）等；</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76A1B426">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4A53BD5">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78028A61">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2838E7BB">
            <w:pPr>
              <w:bidi w:val="0"/>
              <w:rPr>
                <w:rFonts w:hint="eastAsia"/>
                <w:lang w:val="en-US" w:eastAsia="zh-CN"/>
              </w:rPr>
            </w:pPr>
          </w:p>
        </w:tc>
      </w:tr>
      <w:tr w14:paraId="4B1C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left w:val="single" w:color="000000" w:sz="4" w:space="0"/>
              <w:right w:val="single" w:color="000000" w:sz="4" w:space="0"/>
            </w:tcBorders>
            <w:noWrap w:val="0"/>
            <w:vAlign w:val="center"/>
          </w:tcPr>
          <w:p w14:paraId="34D96622">
            <w:pPr>
              <w:bidi w:val="0"/>
              <w:rPr>
                <w:rFonts w:hint="eastAsia"/>
                <w:lang w:val="en-US" w:eastAsia="zh-CN"/>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CB64612">
            <w:pPr>
              <w:bidi w:val="0"/>
              <w:rPr>
                <w:rFonts w:hint="eastAsia"/>
                <w:lang w:val="en-US" w:eastAsia="zh-CN"/>
              </w:rPr>
            </w:pPr>
            <w:r>
              <w:rPr>
                <w:rFonts w:hint="eastAsia" w:ascii="仿宋" w:hAnsi="仿宋" w:eastAsia="宋体" w:cs="Times New Roman"/>
                <w:b w:val="0"/>
                <w:bCs/>
                <w:sz w:val="21"/>
                <w:szCs w:val="21"/>
                <w:lang w:val="en-US" w:eastAsia="zh-CN"/>
              </w:rPr>
              <w:t>流量探针（二）</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1E52EFCD">
            <w:pPr>
              <w:bidi w:val="0"/>
              <w:rPr>
                <w:rFonts w:hint="eastAsia"/>
                <w:lang w:val="en-US" w:eastAsia="zh-CN"/>
              </w:rPr>
            </w:pPr>
            <w:r>
              <w:rPr>
                <w:rFonts w:hint="eastAsia"/>
                <w:lang w:val="en-US" w:eastAsia="zh-CN"/>
              </w:rPr>
              <w:t>13.硬件规格要求：所供设备均满足国家信创国产化相关政策要求、标配国产化CPU，内存≥16GB，硬盘容量≥480GB SSD或“4TB企业级存储硬盘”，接口≥4千兆电口+2万兆光口，配备两个光模块；性能要求为网络层吞吐量≥3Gbps，应用层吞吐量≥1.2Gbps；</w:t>
            </w:r>
          </w:p>
          <w:p w14:paraId="28788B66">
            <w:pPr>
              <w:bidi w:val="0"/>
              <w:rPr>
                <w:rFonts w:hint="eastAsia"/>
                <w:lang w:val="en-US" w:eastAsia="zh-CN"/>
              </w:rPr>
            </w:pPr>
            <w:r>
              <w:rPr>
                <w:rFonts w:hint="eastAsia"/>
                <w:lang w:val="en-US" w:eastAsia="zh-CN"/>
              </w:rPr>
              <w:t>14.支持通过分流器抓取内网边界出口网络区域流量和互联网出口区域流量。支持对多种网络流量中主流协议进行识别和深度解析，用于取证分析、威胁发现，支持协议包括：HTTP、DNS、SMB、NFS、FTP、tftp、DHCP、ICMP、NTP、HTTPS（SSL）、数据库协议（SQL Server、Mysql、DB2、Oracle、Redis）、路由协议（RIP、OSPF）、远程管理协议（SSH、RDP、Telnet、VNC）等；</w:t>
            </w:r>
          </w:p>
        </w:tc>
        <w:tc>
          <w:tcPr>
            <w:tcW w:w="735" w:type="dxa"/>
            <w:tcBorders>
              <w:top w:val="single" w:color="000000" w:sz="4" w:space="0"/>
              <w:left w:val="single" w:color="000000" w:sz="4" w:space="0"/>
              <w:bottom w:val="single" w:color="000000" w:sz="4" w:space="0"/>
              <w:right w:val="single" w:color="000000" w:sz="4" w:space="0"/>
            </w:tcBorders>
            <w:noWrap w:val="0"/>
            <w:vAlign w:val="center"/>
          </w:tcPr>
          <w:p w14:paraId="4794EB07">
            <w:pPr>
              <w:bidi w:val="0"/>
              <w:rPr>
                <w:rFonts w:hint="eastAsia"/>
                <w:lang w:val="en-US" w:eastAsia="zh-CN"/>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C93C9AA">
            <w:pPr>
              <w:bidi w:val="0"/>
              <w:rPr>
                <w:rFonts w:hint="eastAsia"/>
                <w:lang w:val="en-US" w:eastAsia="zh-CN"/>
              </w:rPr>
            </w:pP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5F3BB55C">
            <w:pPr>
              <w:bidi w:val="0"/>
              <w:rPr>
                <w:rFonts w:hint="eastAsia"/>
                <w:lang w:val="en-US" w:eastAsia="zh-CN"/>
              </w:rPr>
            </w:pPr>
          </w:p>
        </w:tc>
        <w:tc>
          <w:tcPr>
            <w:tcW w:w="878" w:type="dxa"/>
            <w:tcBorders>
              <w:top w:val="single" w:color="000000" w:sz="4" w:space="0"/>
              <w:left w:val="single" w:color="000000" w:sz="4" w:space="0"/>
              <w:bottom w:val="single" w:color="000000" w:sz="4" w:space="0"/>
              <w:right w:val="single" w:color="000000" w:sz="4" w:space="0"/>
            </w:tcBorders>
            <w:noWrap w:val="0"/>
            <w:vAlign w:val="center"/>
          </w:tcPr>
          <w:p w14:paraId="55D2A8E6">
            <w:pPr>
              <w:bidi w:val="0"/>
              <w:rPr>
                <w:rFonts w:hint="eastAsia"/>
                <w:lang w:val="en-US" w:eastAsia="zh-CN"/>
              </w:rPr>
            </w:pPr>
          </w:p>
        </w:tc>
      </w:tr>
      <w:tr w14:paraId="43366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vMerge w:val="continue"/>
            <w:tcBorders>
              <w:left w:val="single" w:color="000000" w:sz="4" w:space="0"/>
              <w:bottom w:val="single" w:color="000000" w:sz="4" w:space="0"/>
              <w:right w:val="single" w:color="000000" w:sz="4" w:space="0"/>
            </w:tcBorders>
            <w:noWrap w:val="0"/>
            <w:vAlign w:val="center"/>
          </w:tcPr>
          <w:p w14:paraId="2DE4D5F9">
            <w:pPr>
              <w:bidi w:val="0"/>
              <w:rPr>
                <w:rFonts w:hint="eastAsia"/>
                <w:lang w:val="en-US" w:eastAsia="zh-CN"/>
              </w:rPr>
            </w:pPr>
          </w:p>
        </w:tc>
        <w:tc>
          <w:tcPr>
            <w:tcW w:w="1080" w:type="dxa"/>
            <w:tcBorders>
              <w:top w:val="single" w:color="000000" w:sz="4" w:space="0"/>
              <w:left w:val="single" w:color="000000" w:sz="4" w:space="0"/>
              <w:right w:val="single" w:color="000000" w:sz="4" w:space="0"/>
            </w:tcBorders>
            <w:noWrap w:val="0"/>
            <w:vAlign w:val="center"/>
          </w:tcPr>
          <w:p w14:paraId="5EFA08BD">
            <w:pPr>
              <w:bidi w:val="0"/>
              <w:rPr>
                <w:rFonts w:hint="eastAsia"/>
                <w:lang w:val="en-US" w:eastAsia="zh-CN"/>
              </w:rPr>
            </w:pPr>
            <w:r>
              <w:rPr>
                <w:rFonts w:hint="eastAsia" w:ascii="仿宋" w:hAnsi="仿宋" w:eastAsia="宋体" w:cs="Times New Roman"/>
                <w:b w:val="0"/>
                <w:bCs/>
                <w:sz w:val="21"/>
                <w:szCs w:val="21"/>
                <w:lang w:val="en-US" w:eastAsia="zh-CN"/>
              </w:rPr>
              <w:t>安全运维服务</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00289F19">
            <w:pPr>
              <w:numPr>
                <w:ilvl w:val="0"/>
                <w:numId w:val="0"/>
              </w:numPr>
              <w:bidi w:val="0"/>
              <w:rPr>
                <w:rFonts w:hint="eastAsia"/>
                <w:lang w:val="en-US" w:eastAsia="zh-CN"/>
              </w:rPr>
            </w:pPr>
            <w:r>
              <w:rPr>
                <w:rFonts w:hint="eastAsia"/>
                <w:lang w:val="en-US" w:eastAsia="zh-CN"/>
              </w:rPr>
              <w:t>15.本次应提供流量探针采集流量涉及到的信息系统合同期内的安全运维服务和安全技术支持。</w:t>
            </w:r>
          </w:p>
          <w:p w14:paraId="383B6397">
            <w:pPr>
              <w:bidi w:val="0"/>
              <w:rPr>
                <w:rFonts w:hint="default"/>
                <w:lang w:val="en-US" w:eastAsia="zh-CN"/>
              </w:rPr>
            </w:pPr>
            <w:r>
              <w:rPr>
                <w:rFonts w:hint="eastAsia"/>
                <w:lang w:val="en-US" w:eastAsia="zh-CN"/>
              </w:rPr>
              <w:t>16.安全巡检服务：根据使用方需求提供相应周期的安全报告，包括但不限于《网络安全威胁情报》、《特殊时期安全值守报告》、网络安全日、周、月、季及年报等。提供可视化报告和统计服务。收集日志信息，分析指定设备的特定时间的日志信息，发现面临的安全风险，对安全设备进行策略检查，根据检查结果提供整改建议。</w:t>
            </w:r>
          </w:p>
          <w:p w14:paraId="4CB19E04">
            <w:pPr>
              <w:bidi w:val="0"/>
              <w:rPr>
                <w:rFonts w:hint="eastAsia"/>
                <w:lang w:val="en-US" w:eastAsia="zh-CN"/>
              </w:rPr>
            </w:pPr>
            <w:r>
              <w:rPr>
                <w:rFonts w:hint="eastAsia"/>
                <w:lang w:val="en-US" w:eastAsia="zh-CN"/>
              </w:rPr>
              <w:t>17.暴露面梳理：供应商应定期使用安全工具对使用方服务资产开展互联网暴露面探测，以梳理资产面向互联网的开放情况，第一时间发现及处置违规暴露在互联网中的资产及存在的风险。收集到的暴露面信息至少包括域名、域名标题、IP地址、开放端口、资产信息、移动端暴露面，并且能采集对应暴露资产的访问进行截图证明。</w:t>
            </w:r>
          </w:p>
        </w:tc>
        <w:tc>
          <w:tcPr>
            <w:tcW w:w="735" w:type="dxa"/>
            <w:tcBorders>
              <w:top w:val="single" w:color="000000" w:sz="4" w:space="0"/>
              <w:left w:val="single" w:color="000000" w:sz="4" w:space="0"/>
              <w:right w:val="single" w:color="000000" w:sz="4" w:space="0"/>
            </w:tcBorders>
            <w:noWrap w:val="0"/>
            <w:vAlign w:val="center"/>
          </w:tcPr>
          <w:p w14:paraId="206D5537">
            <w:pPr>
              <w:bidi w:val="0"/>
              <w:rPr>
                <w:rFonts w:hint="eastAsia"/>
                <w:lang w:val="en-US" w:eastAsia="zh-CN"/>
              </w:rPr>
            </w:pPr>
          </w:p>
        </w:tc>
        <w:tc>
          <w:tcPr>
            <w:tcW w:w="765" w:type="dxa"/>
            <w:tcBorders>
              <w:top w:val="single" w:color="000000" w:sz="4" w:space="0"/>
              <w:left w:val="single" w:color="000000" w:sz="4" w:space="0"/>
              <w:right w:val="single" w:color="000000" w:sz="4" w:space="0"/>
            </w:tcBorders>
            <w:noWrap w:val="0"/>
            <w:vAlign w:val="center"/>
          </w:tcPr>
          <w:p w14:paraId="2C98CB12">
            <w:pPr>
              <w:bidi w:val="0"/>
              <w:rPr>
                <w:rFonts w:hint="eastAsia"/>
                <w:lang w:val="en-US" w:eastAsia="zh-CN"/>
              </w:rPr>
            </w:pPr>
          </w:p>
        </w:tc>
        <w:tc>
          <w:tcPr>
            <w:tcW w:w="645" w:type="dxa"/>
            <w:tcBorders>
              <w:top w:val="single" w:color="000000" w:sz="4" w:space="0"/>
              <w:left w:val="single" w:color="000000" w:sz="4" w:space="0"/>
              <w:right w:val="single" w:color="000000" w:sz="4" w:space="0"/>
            </w:tcBorders>
            <w:noWrap w:val="0"/>
            <w:vAlign w:val="center"/>
          </w:tcPr>
          <w:p w14:paraId="01317401">
            <w:pPr>
              <w:bidi w:val="0"/>
              <w:rPr>
                <w:rFonts w:hint="eastAsia"/>
                <w:lang w:val="en-US" w:eastAsia="zh-CN"/>
              </w:rPr>
            </w:pPr>
          </w:p>
        </w:tc>
        <w:tc>
          <w:tcPr>
            <w:tcW w:w="878" w:type="dxa"/>
            <w:tcBorders>
              <w:top w:val="single" w:color="000000" w:sz="4" w:space="0"/>
              <w:left w:val="single" w:color="000000" w:sz="4" w:space="0"/>
              <w:right w:val="single" w:color="000000" w:sz="4" w:space="0"/>
            </w:tcBorders>
            <w:noWrap w:val="0"/>
            <w:vAlign w:val="center"/>
          </w:tcPr>
          <w:p w14:paraId="6E5CD703">
            <w:pPr>
              <w:bidi w:val="0"/>
              <w:rPr>
                <w:rFonts w:hint="eastAsia"/>
                <w:lang w:val="en-US" w:eastAsia="zh-CN"/>
              </w:rPr>
            </w:pPr>
          </w:p>
        </w:tc>
      </w:tr>
      <w:tr w14:paraId="58B92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8" w:hRule="atLeast"/>
        </w:trPr>
        <w:tc>
          <w:tcPr>
            <w:tcW w:w="682" w:type="dxa"/>
            <w:vMerge w:val="continue"/>
            <w:tcBorders>
              <w:left w:val="single" w:color="000000" w:sz="4" w:space="0"/>
              <w:bottom w:val="single" w:color="000000" w:sz="4" w:space="0"/>
              <w:right w:val="single" w:color="000000" w:sz="4" w:space="0"/>
            </w:tcBorders>
            <w:noWrap w:val="0"/>
            <w:vAlign w:val="center"/>
          </w:tcPr>
          <w:p w14:paraId="4BA3583C">
            <w:pPr>
              <w:bidi w:val="0"/>
            </w:pPr>
          </w:p>
        </w:tc>
        <w:tc>
          <w:tcPr>
            <w:tcW w:w="1080" w:type="dxa"/>
            <w:tcBorders>
              <w:left w:val="single" w:color="000000" w:sz="4" w:space="0"/>
              <w:bottom w:val="single" w:color="000000" w:sz="4" w:space="0"/>
              <w:right w:val="single" w:color="000000" w:sz="4" w:space="0"/>
            </w:tcBorders>
            <w:noWrap w:val="0"/>
            <w:vAlign w:val="center"/>
          </w:tcPr>
          <w:p w14:paraId="43B61307">
            <w:pPr>
              <w:bidi w:val="0"/>
              <w:jc w:val="both"/>
            </w:pPr>
            <w:r>
              <w:rPr>
                <w:rFonts w:hint="eastAsia"/>
                <w:lang w:val="en-US" w:eastAsia="zh-CN"/>
              </w:rPr>
              <w:t>其他要求</w:t>
            </w:r>
          </w:p>
        </w:tc>
        <w:tc>
          <w:tcPr>
            <w:tcW w:w="6210" w:type="dxa"/>
            <w:tcBorders>
              <w:top w:val="single" w:color="000000" w:sz="4" w:space="0"/>
              <w:left w:val="single" w:color="000000" w:sz="4" w:space="0"/>
              <w:bottom w:val="single" w:color="000000" w:sz="4" w:space="0"/>
              <w:right w:val="single" w:color="000000" w:sz="4" w:space="0"/>
            </w:tcBorders>
            <w:noWrap w:val="0"/>
            <w:vAlign w:val="center"/>
          </w:tcPr>
          <w:p w14:paraId="01F55F05">
            <w:pPr>
              <w:rPr>
                <w:rFonts w:hint="eastAsia"/>
                <w:lang w:val="en-US" w:eastAsia="zh-CN"/>
              </w:rPr>
            </w:pPr>
            <w:r>
              <w:rPr>
                <w:rFonts w:hint="eastAsia"/>
                <w:lang w:val="en-US" w:eastAsia="zh-CN"/>
              </w:rPr>
              <w:t>18.供应商应当满足重大事故应启动应急响应机制，工作时间15分钟之内云端专家进行响应，非工作时间30分钟之内云端专家进行响应，2小时内现场处置。</w:t>
            </w:r>
          </w:p>
          <w:p w14:paraId="7593DBE0">
            <w:pPr>
              <w:bidi w:val="0"/>
              <w:rPr>
                <w:rFonts w:hint="eastAsia"/>
                <w:lang w:val="en-US" w:eastAsia="zh-CN"/>
              </w:rPr>
            </w:pPr>
            <w:r>
              <w:rPr>
                <w:rFonts w:hint="eastAsia"/>
                <w:lang w:val="en-US" w:eastAsia="zh-CN"/>
              </w:rPr>
              <w:t>19.本次项目采购的网络安全态势感知服务，需配备上述参数提及的所有的投入设备及功能需求，无需其他任何额外收费。</w:t>
            </w:r>
          </w:p>
          <w:p w14:paraId="78FCF092">
            <w:pPr>
              <w:bidi w:val="0"/>
              <w:rPr>
                <w:rFonts w:hint="eastAsia"/>
                <w:lang w:val="en-US" w:eastAsia="zh-CN"/>
              </w:rPr>
            </w:pPr>
            <w:r>
              <w:rPr>
                <w:rFonts w:hint="eastAsia"/>
                <w:lang w:val="en-US" w:eastAsia="zh-CN"/>
              </w:rPr>
              <w:t>20.项目服务团队进场后，需明确服务项目经理及服务项目实施方案和维保服务方案。</w:t>
            </w:r>
          </w:p>
          <w:p w14:paraId="7EEF5B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lang w:val="en-US" w:eastAsia="zh-CN"/>
              </w:rPr>
            </w:pPr>
            <w:r>
              <w:rPr>
                <w:rFonts w:hint="eastAsia"/>
                <w:lang w:val="en-US" w:eastAsia="zh-CN"/>
              </w:rPr>
              <w:t>21.服务周期内提供原厂硬件质保及软件维保服务。</w:t>
            </w:r>
          </w:p>
          <w:p w14:paraId="7C9D2410">
            <w:pPr>
              <w:bidi w:val="0"/>
              <w:rPr>
                <w:rFonts w:hint="eastAsia"/>
                <w:lang w:val="en-US" w:eastAsia="zh-CN"/>
              </w:rPr>
            </w:pPr>
            <w:r>
              <w:rPr>
                <w:rFonts w:hint="eastAsia"/>
                <w:lang w:val="en-US" w:eastAsia="zh-CN"/>
              </w:rPr>
              <w:t>22.年度服务周期结束后，经评估考核合格后，续签第二年度服务合同。（最多续签2次）</w:t>
            </w:r>
          </w:p>
        </w:tc>
        <w:tc>
          <w:tcPr>
            <w:tcW w:w="735" w:type="dxa"/>
            <w:tcBorders>
              <w:left w:val="single" w:color="000000" w:sz="4" w:space="0"/>
              <w:bottom w:val="single" w:color="000000" w:sz="4" w:space="0"/>
              <w:right w:val="single" w:color="000000" w:sz="4" w:space="0"/>
            </w:tcBorders>
            <w:noWrap w:val="0"/>
            <w:vAlign w:val="center"/>
          </w:tcPr>
          <w:p w14:paraId="33D91DC4">
            <w:pPr>
              <w:bidi w:val="0"/>
              <w:rPr>
                <w:rFonts w:hint="eastAsia"/>
                <w:lang w:val="en-US" w:eastAsia="zh-CN"/>
              </w:rPr>
            </w:pPr>
          </w:p>
        </w:tc>
        <w:tc>
          <w:tcPr>
            <w:tcW w:w="765" w:type="dxa"/>
            <w:tcBorders>
              <w:left w:val="single" w:color="000000" w:sz="4" w:space="0"/>
              <w:bottom w:val="single" w:color="000000" w:sz="4" w:space="0"/>
              <w:right w:val="single" w:color="000000" w:sz="4" w:space="0"/>
            </w:tcBorders>
            <w:noWrap w:val="0"/>
            <w:vAlign w:val="center"/>
          </w:tcPr>
          <w:p w14:paraId="02294C9F">
            <w:pPr>
              <w:bidi w:val="0"/>
              <w:rPr>
                <w:rFonts w:hint="eastAsia"/>
                <w:lang w:val="en-US" w:eastAsia="zh-CN"/>
              </w:rPr>
            </w:pPr>
          </w:p>
        </w:tc>
        <w:tc>
          <w:tcPr>
            <w:tcW w:w="645" w:type="dxa"/>
            <w:tcBorders>
              <w:left w:val="single" w:color="000000" w:sz="4" w:space="0"/>
              <w:bottom w:val="single" w:color="000000" w:sz="4" w:space="0"/>
              <w:right w:val="single" w:color="000000" w:sz="4" w:space="0"/>
            </w:tcBorders>
            <w:noWrap w:val="0"/>
            <w:vAlign w:val="center"/>
          </w:tcPr>
          <w:p w14:paraId="4087C275">
            <w:pPr>
              <w:bidi w:val="0"/>
              <w:rPr>
                <w:rFonts w:hint="eastAsia"/>
                <w:lang w:val="en-US" w:eastAsia="zh-CN"/>
              </w:rPr>
            </w:pPr>
          </w:p>
        </w:tc>
        <w:tc>
          <w:tcPr>
            <w:tcW w:w="878" w:type="dxa"/>
            <w:tcBorders>
              <w:left w:val="single" w:color="000000" w:sz="4" w:space="0"/>
              <w:bottom w:val="single" w:color="000000" w:sz="4" w:space="0"/>
              <w:right w:val="single" w:color="000000" w:sz="4" w:space="0"/>
            </w:tcBorders>
            <w:noWrap w:val="0"/>
            <w:vAlign w:val="center"/>
          </w:tcPr>
          <w:p w14:paraId="4EE9DA6B">
            <w:pPr>
              <w:bidi w:val="0"/>
              <w:rPr>
                <w:rFonts w:hint="eastAsia"/>
                <w:lang w:val="en-US" w:eastAsia="zh-CN"/>
              </w:rPr>
            </w:pPr>
          </w:p>
        </w:tc>
      </w:tr>
    </w:tbl>
    <w:p w14:paraId="6A7E4AE7">
      <w:pPr>
        <w:pStyle w:val="3"/>
      </w:pPr>
    </w:p>
    <w:p w14:paraId="04530717">
      <w:pPr>
        <w:bidi w:val="0"/>
        <w:jc w:val="center"/>
        <w:rPr>
          <w:rFonts w:ascii="仿宋" w:hAnsi="仿宋" w:eastAsia="仿宋"/>
          <w:szCs w:val="21"/>
        </w:rPr>
      </w:pPr>
    </w:p>
    <w:p w14:paraId="24DE056D">
      <w:pPr>
        <w:bidi w:val="0"/>
        <w:jc w:val="center"/>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04C2FAF8">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418C824D">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20763B"/>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4220EC"/>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4F24249"/>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85D4A"/>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B27A3D"/>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954FA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82AC2"/>
    <w:rsid w:val="363B2715"/>
    <w:rsid w:val="367F3DA1"/>
    <w:rsid w:val="36AC7731"/>
    <w:rsid w:val="36F1454D"/>
    <w:rsid w:val="37712166"/>
    <w:rsid w:val="37CF3484"/>
    <w:rsid w:val="37D710BC"/>
    <w:rsid w:val="37E17463"/>
    <w:rsid w:val="384637F8"/>
    <w:rsid w:val="38DC31DA"/>
    <w:rsid w:val="3A2B484E"/>
    <w:rsid w:val="3A636FDD"/>
    <w:rsid w:val="3A7537C9"/>
    <w:rsid w:val="3A9C74FA"/>
    <w:rsid w:val="3AC96DD4"/>
    <w:rsid w:val="3B126CF0"/>
    <w:rsid w:val="3B354EAA"/>
    <w:rsid w:val="3B927DA6"/>
    <w:rsid w:val="3BC12604"/>
    <w:rsid w:val="3C36245C"/>
    <w:rsid w:val="3C5820D4"/>
    <w:rsid w:val="3C5D298C"/>
    <w:rsid w:val="3C60338E"/>
    <w:rsid w:val="3C840FCA"/>
    <w:rsid w:val="3CA90ECD"/>
    <w:rsid w:val="3CAE4D3F"/>
    <w:rsid w:val="3D3943C1"/>
    <w:rsid w:val="3D485F57"/>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2D7248"/>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365A8A"/>
    <w:rsid w:val="556B4EDD"/>
    <w:rsid w:val="55A423F8"/>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5FA06018"/>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763559"/>
    <w:rsid w:val="6BA52303"/>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CB34AB"/>
    <w:rsid w:val="70F17567"/>
    <w:rsid w:val="710A4F1D"/>
    <w:rsid w:val="71685DAD"/>
    <w:rsid w:val="718E6436"/>
    <w:rsid w:val="725F012C"/>
    <w:rsid w:val="727A01CC"/>
    <w:rsid w:val="72FD5CB8"/>
    <w:rsid w:val="73452A90"/>
    <w:rsid w:val="73586019"/>
    <w:rsid w:val="736A3260"/>
    <w:rsid w:val="736E6F41"/>
    <w:rsid w:val="73CC6079"/>
    <w:rsid w:val="73DF5EF1"/>
    <w:rsid w:val="74CF4AFC"/>
    <w:rsid w:val="751E4CA6"/>
    <w:rsid w:val="753A5E46"/>
    <w:rsid w:val="7550035E"/>
    <w:rsid w:val="758A45B5"/>
    <w:rsid w:val="759D5A90"/>
    <w:rsid w:val="75A1160C"/>
    <w:rsid w:val="75F0684F"/>
    <w:rsid w:val="75F56E68"/>
    <w:rsid w:val="768840AF"/>
    <w:rsid w:val="76A81B2B"/>
    <w:rsid w:val="76C27D0D"/>
    <w:rsid w:val="76EA5E9C"/>
    <w:rsid w:val="771C3B7F"/>
    <w:rsid w:val="77570EBD"/>
    <w:rsid w:val="77F86EC8"/>
    <w:rsid w:val="781028F2"/>
    <w:rsid w:val="781E605F"/>
    <w:rsid w:val="78475D8B"/>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pPr>
    <w:rPr>
      <w:rFonts w:ascii="Calibri" w:hAnsi="Calibri" w:eastAsia="宋体" w:cs="Times New Roman"/>
    </w:rPr>
  </w:style>
  <w:style w:type="paragraph" w:styleId="3">
    <w:name w:val="Body Text"/>
    <w:basedOn w:val="1"/>
    <w:next w:val="4"/>
    <w:autoRedefine/>
    <w:qFormat/>
    <w:uiPriority w:val="0"/>
    <w:pPr>
      <w:spacing w:after="120"/>
    </w:pPr>
  </w:style>
  <w:style w:type="paragraph" w:customStyle="1" w:styleId="4">
    <w:name w:val="style4"/>
    <w:basedOn w:val="1"/>
    <w:next w:val="5"/>
    <w:autoRedefine/>
    <w:qFormat/>
    <w:uiPriority w:val="0"/>
    <w:pPr>
      <w:widowControl/>
      <w:spacing w:before="280" w:after="280"/>
    </w:pPr>
    <w:rPr>
      <w:rFonts w:ascii="宋体" w:hAnsi="Times New Roman" w:eastAsia="宋体" w:cs="Times New Roman"/>
      <w:sz w:val="18"/>
    </w:rPr>
  </w:style>
  <w:style w:type="paragraph" w:customStyle="1" w:styleId="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styleId="6">
    <w:name w:val="footer"/>
    <w:basedOn w:val="1"/>
    <w:link w:val="14"/>
    <w:autoRedefine/>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autoRedefine/>
    <w:unhideWhenUsed/>
    <w:qFormat/>
    <w:uiPriority w:val="99"/>
    <w:pPr>
      <w:ind w:firstLine="420" w:firstLineChars="100"/>
    </w:pPr>
    <w:rPr>
      <w:rFonts w:ascii="Times New Roman" w:hAnsi="Times New Roman"/>
      <w:kern w:val="0"/>
      <w:sz w:val="20"/>
      <w:szCs w:val="20"/>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目录 71"/>
    <w:basedOn w:val="1"/>
    <w:next w:val="1"/>
    <w:autoRedefine/>
    <w:qFormat/>
    <w:uiPriority w:val="0"/>
    <w:pPr>
      <w:ind w:left="2520"/>
    </w:pPr>
    <w:rPr>
      <w:rFonts w:ascii="Calibri"/>
    </w:rPr>
  </w:style>
  <w:style w:type="character" w:customStyle="1" w:styleId="13">
    <w:name w:val="页眉 Char"/>
    <w:basedOn w:val="11"/>
    <w:link w:val="7"/>
    <w:autoRedefine/>
    <w:semiHidden/>
    <w:qFormat/>
    <w:uiPriority w:val="99"/>
    <w:rPr>
      <w:sz w:val="18"/>
      <w:szCs w:val="18"/>
    </w:rPr>
  </w:style>
  <w:style w:type="character" w:customStyle="1" w:styleId="14">
    <w:name w:val="页脚 Char"/>
    <w:basedOn w:val="11"/>
    <w:link w:val="6"/>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3636</Words>
  <Characters>4036</Characters>
  <Lines>6</Lines>
  <Paragraphs>1</Paragraphs>
  <TotalTime>22</TotalTime>
  <ScaleCrop>false</ScaleCrop>
  <LinksUpToDate>false</LinksUpToDate>
  <CharactersWithSpaces>4150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2025-03-13T00:39:45Z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DFAF375541214C39AFC43EFC32978CEB_13</vt:lpwstr>
  </property>
  <property fmtid="{D5CDD505-2E9C-101B-9397-08002B2CF9AE}" pid="4" name="commondata">
    <vt:lpwstr>eyJoZGlkIjoiNzljOTE0MDRlMmUyY2M3ZGQ4Nzk0OWRiOWI1OGE3ZmYifQ==</vt:lpwstr>
  </property>
  <property fmtid="{D5CDD505-2E9C-101B-9397-08002B2CF9AE}" pid="5" name="KSOTemplateDocerSaveRecord">
    <vt:lpwstr>eyJoZGlkIjoiZjliMDljOTNiZjg2OGZjYmUzNmIzODA4M2U2ZDAwNTUiLCJ1c2VySWQiOiI5NDYyMTUwMjAifQ==</vt:lpwstr>
  </property>
</Properties>
</file>