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21"/>
          <w:rFonts w:hint="eastAsia" w:ascii="宋体" w:hAnsi="宋体" w:eastAsia="宋体" w:cs="仿宋_GB2312"/>
          <w:sz w:val="36"/>
          <w:szCs w:val="36"/>
          <w:lang w:eastAsia="zh-CN"/>
        </w:rPr>
      </w:pPr>
      <w:r>
        <w:rPr>
          <w:rStyle w:val="21"/>
          <w:rFonts w:hint="eastAsia" w:ascii="宋体" w:hAnsi="宋体" w:eastAsia="宋体" w:cs="仿宋_GB2312"/>
          <w:sz w:val="36"/>
          <w:szCs w:val="36"/>
        </w:rPr>
        <w:t>六安市中医院六安市中医院</w:t>
      </w:r>
      <w:r>
        <w:rPr>
          <w:rStyle w:val="21"/>
          <w:rFonts w:hint="eastAsia" w:ascii="宋体" w:hAnsi="宋体" w:eastAsia="宋体" w:cs="仿宋_GB2312"/>
          <w:sz w:val="36"/>
          <w:szCs w:val="36"/>
          <w:lang w:val="en-US" w:eastAsia="zh-CN"/>
        </w:rPr>
        <w:t>马店分院精神病区监控新增项目</w:t>
      </w:r>
      <w:r>
        <w:rPr>
          <w:rStyle w:val="21"/>
          <w:rFonts w:hint="eastAsia" w:ascii="宋体" w:hAnsi="宋体" w:eastAsia="宋体" w:cs="仿宋_GB2312"/>
          <w:sz w:val="36"/>
          <w:szCs w:val="36"/>
        </w:rPr>
        <w:t>采购</w:t>
      </w:r>
      <w:r>
        <w:rPr>
          <w:rStyle w:val="21"/>
          <w:rFonts w:hint="eastAsia" w:ascii="宋体" w:hAnsi="宋体" w:eastAsia="宋体" w:cs="仿宋_GB2312"/>
          <w:sz w:val="36"/>
          <w:szCs w:val="36"/>
          <w:lang w:eastAsia="zh-CN"/>
        </w:rPr>
        <w:t>文</w:t>
      </w:r>
      <w:r>
        <w:rPr>
          <w:rStyle w:val="21"/>
          <w:rFonts w:hint="eastAsia" w:ascii="宋体" w:hAnsi="宋体" w:eastAsia="宋体" w:cs="仿宋_GB2312"/>
          <w:sz w:val="36"/>
          <w:szCs w:val="36"/>
        </w:rPr>
        <w:t>件</w:t>
      </w:r>
    </w:p>
    <w:p>
      <w:pPr>
        <w:spacing w:before="156" w:beforeLines="50"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第一章 采购公告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w:t>
      </w:r>
    </w:p>
    <w:p>
      <w:pPr>
        <w:numPr>
          <w:ilvl w:val="0"/>
          <w:numId w:val="1"/>
        </w:numPr>
        <w:ind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项目名称：六安市中医院</w:t>
      </w:r>
      <w:r>
        <w:rPr>
          <w:rFonts w:hint="eastAsia" w:ascii="仿宋_GB2312" w:hAnsi="仿宋_GB2312" w:eastAsia="仿宋_GB2312" w:cs="仿宋_GB2312"/>
          <w:sz w:val="28"/>
          <w:szCs w:val="28"/>
          <w:lang w:val="en-US" w:eastAsia="zh-CN"/>
        </w:rPr>
        <w:t>马店分院精神病区监控新增项目</w:t>
      </w:r>
    </w:p>
    <w:p>
      <w:pPr>
        <w:numPr>
          <w:ilvl w:val="0"/>
          <w:numId w:val="1"/>
        </w:numPr>
        <w:ind w:left="-829" w:leftChars="-395" w:firstLine="1400" w:firstLineChars="5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项目编号：</w:t>
      </w:r>
      <w:r>
        <w:rPr>
          <w:rFonts w:hint="eastAsia" w:ascii="仿宋_GB2312" w:hAnsi="仿宋_GB2312" w:eastAsia="仿宋_GB2312" w:cs="仿宋_GB2312"/>
          <w:sz w:val="28"/>
          <w:szCs w:val="28"/>
          <w:lang w:val="zh-CN"/>
        </w:rPr>
        <w:t>LASZYY-</w:t>
      </w:r>
      <w:r>
        <w:rPr>
          <w:rFonts w:hint="eastAsia" w:ascii="仿宋_GB2312" w:hAnsi="仿宋_GB2312" w:eastAsia="仿宋_GB2312" w:cs="仿宋_GB2312"/>
          <w:sz w:val="28"/>
          <w:szCs w:val="28"/>
          <w:lang w:val="en-US" w:eastAsia="zh-CN"/>
        </w:rPr>
        <w:t>XXGLB</w:t>
      </w:r>
      <w:r>
        <w:rPr>
          <w:rFonts w:hint="eastAsia" w:ascii="仿宋_GB2312" w:hAnsi="仿宋_GB2312" w:eastAsia="仿宋_GB2312" w:cs="仿宋_GB2312"/>
          <w:sz w:val="28"/>
          <w:szCs w:val="28"/>
          <w:lang w:val="zh-CN"/>
        </w:rPr>
        <w:t>20240</w:t>
      </w:r>
      <w:r>
        <w:rPr>
          <w:rFonts w:hint="eastAsia" w:ascii="仿宋_GB2312" w:hAnsi="仿宋_GB2312" w:eastAsia="仿宋_GB2312" w:cs="仿宋_GB2312"/>
          <w:sz w:val="28"/>
          <w:szCs w:val="28"/>
          <w:lang w:val="en-US" w:eastAsia="zh-CN"/>
        </w:rPr>
        <w:t>29</w:t>
      </w:r>
    </w:p>
    <w:p>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三、比选地点：六安市中医院</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号楼</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信息管理部</w:t>
      </w:r>
      <w:r>
        <w:rPr>
          <w:rFonts w:hint="eastAsia" w:ascii="仿宋_GB2312" w:hAnsi="仿宋_GB2312" w:eastAsia="仿宋_GB2312" w:cs="仿宋_GB2312"/>
          <w:sz w:val="28"/>
          <w:szCs w:val="28"/>
        </w:rPr>
        <w:t>会议室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、开标时间：202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、参选文件有效期：</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天</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、参选保证金：本项目不收参选保证金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、项目简介：</w:t>
      </w:r>
    </w:p>
    <w:p>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马店分院精神病区监控新增项目（包括施工安装调试）。</w:t>
      </w:r>
    </w:p>
    <w:p>
      <w:pPr>
        <w:ind w:firstLine="840" w:firstLineChars="3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2、最高限价49500元。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十、报价文件接收：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3号楼四</w:t>
      </w:r>
      <w:r>
        <w:rPr>
          <w:rStyle w:val="20"/>
          <w:rFonts w:hint="eastAsia" w:ascii="仿宋_GB2312" w:hAnsi="仿宋_GB2312" w:eastAsia="仿宋_GB2312" w:cs="仿宋_GB2312"/>
          <w:sz w:val="28"/>
          <w:szCs w:val="28"/>
        </w:rPr>
        <w:t>楼</w:t>
      </w:r>
      <w:r>
        <w:rPr>
          <w:rStyle w:val="20"/>
          <w:rFonts w:hint="eastAsia" w:ascii="仿宋_GB2312" w:hAnsi="仿宋_GB2312" w:eastAsia="仿宋_GB2312" w:cs="仿宋_GB2312"/>
          <w:sz w:val="28"/>
          <w:szCs w:val="28"/>
          <w:lang w:val="en-US" w:eastAsia="zh-CN"/>
        </w:rPr>
        <w:t>信息</w:t>
      </w:r>
      <w:r>
        <w:rPr>
          <w:rStyle w:val="20"/>
          <w:rFonts w:hint="eastAsia" w:ascii="仿宋_GB2312" w:hAnsi="仿宋_GB2312" w:eastAsia="仿宋_GB2312" w:cs="仿宋_GB2312"/>
          <w:sz w:val="28"/>
          <w:szCs w:val="28"/>
        </w:rPr>
        <w:fldChar w:fldCharType="end"/>
      </w:r>
      <w:r>
        <w:rPr>
          <w:rStyle w:val="20"/>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rPr>
        <w:t>。</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十一、本项目评审办法:</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pPr>
        <w:numPr>
          <w:ilvl w:val="0"/>
          <w:numId w:val="2"/>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联系事项：</w:t>
      </w:r>
    </w:p>
    <w:p>
      <w:pPr>
        <w:numPr>
          <w:ilvl w:val="0"/>
          <w:numId w:val="0"/>
        </w:numPr>
        <w:ind w:firstLine="56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采购需求咨询：六安市中医院信息管理部   夏老师</w:t>
      </w:r>
    </w:p>
    <w:p>
      <w:pPr>
        <w:numPr>
          <w:ilvl w:val="0"/>
          <w:numId w:val="0"/>
        </w:numPr>
        <w:ind w:firstLine="56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联系方式：0564-3318321</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Fonts w:hint="eastAsia" w:ascii="仿宋_GB2312" w:hAnsi="仿宋_GB2312" w:eastAsia="仿宋_GB2312" w:cs="仿宋_GB2312"/>
          <w:sz w:val="28"/>
          <w:szCs w:val="28"/>
          <w:lang w:val="en-US" w:eastAsia="zh-CN"/>
        </w:rPr>
        <w:t>信息管理</w:t>
      </w:r>
      <w:r>
        <w:rPr>
          <w:rFonts w:hint="eastAsia" w:ascii="仿宋_GB2312" w:hAnsi="仿宋_GB2312" w:eastAsia="仿宋_GB2312" w:cs="仿宋_GB2312"/>
          <w:sz w:val="28"/>
          <w:szCs w:val="28"/>
          <w:lang w:eastAsia="zh-CN"/>
        </w:rPr>
        <w:t>部</w:t>
      </w:r>
      <w:r>
        <w:rPr>
          <w:rFonts w:hint="eastAsia" w:ascii="仿宋_GB2312" w:hAnsi="仿宋_GB2312" w:eastAsia="仿宋_GB2312" w:cs="仿宋_GB2312"/>
          <w:sz w:val="28"/>
          <w:szCs w:val="28"/>
          <w:lang w:val="en-US" w:eastAsia="zh-CN"/>
        </w:rPr>
        <w:t xml:space="preserve"> 罗</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联系方式：0564-</w:t>
      </w:r>
      <w:r>
        <w:rPr>
          <w:rFonts w:hint="eastAsia" w:ascii="仿宋_GB2312" w:hAnsi="仿宋_GB2312" w:eastAsia="仿宋_GB2312" w:cs="仿宋_GB2312"/>
          <w:sz w:val="28"/>
          <w:szCs w:val="28"/>
          <w:lang w:val="en-US" w:eastAsia="zh-CN"/>
        </w:rPr>
        <w:t>3318322</w:t>
      </w:r>
      <w:r>
        <w:rPr>
          <w:rFonts w:hint="eastAsia" w:ascii="仿宋_GB2312" w:hAnsi="仿宋_GB2312" w:eastAsia="仿宋_GB2312" w:cs="仿宋_GB2312"/>
          <w:sz w:val="28"/>
          <w:szCs w:val="28"/>
        </w:rPr>
        <w:t xml:space="preserve">  </w:t>
      </w:r>
    </w:p>
    <w:p>
      <w:pPr>
        <w:ind w:firstLine="5040" w:firstLineChars="1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日</w:t>
      </w:r>
    </w:p>
    <w:p>
      <w:pPr>
        <w:spacing w:line="480" w:lineRule="exact"/>
        <w:ind w:firstLine="2530" w:firstLineChars="900"/>
        <w:rPr>
          <w:rFonts w:hint="eastAsia" w:ascii="仿宋_GB2312" w:hAnsi="仿宋_GB2312" w:eastAsia="仿宋_GB2312" w:cs="仿宋_GB2312"/>
          <w:b/>
          <w:color w:val="000000"/>
          <w:sz w:val="28"/>
          <w:szCs w:val="28"/>
        </w:rPr>
      </w:pPr>
      <w:bookmarkStart w:id="4" w:name="_GoBack"/>
      <w:bookmarkEnd w:id="4"/>
    </w:p>
    <w:p>
      <w:pPr>
        <w:ind w:firstLine="5040" w:firstLineChars="1800"/>
        <w:rPr>
          <w:rFonts w:hint="eastAsia" w:ascii="仿宋_GB2312" w:hAnsi="仿宋_GB2312" w:eastAsia="仿宋_GB2312" w:cs="仿宋_GB2312"/>
          <w:sz w:val="28"/>
          <w:szCs w:val="28"/>
        </w:rPr>
      </w:pPr>
    </w:p>
    <w:p>
      <w:pPr>
        <w:widowControl/>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br w:type="page"/>
      </w:r>
    </w:p>
    <w:p>
      <w:pPr>
        <w:numPr>
          <w:ilvl w:val="0"/>
          <w:numId w:val="3"/>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tbl>
      <w:tblPr>
        <w:tblStyle w:val="15"/>
        <w:tblpPr w:leftFromText="180" w:rightFromText="180" w:vertAnchor="text" w:horzAnchor="page" w:tblpX="1230" w:tblpY="483"/>
        <w:tblOverlap w:val="never"/>
        <w:tblW w:w="98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660"/>
        <w:gridCol w:w="5179"/>
        <w:gridCol w:w="960"/>
        <w:gridCol w:w="780"/>
        <w:gridCol w:w="900"/>
        <w:gridCol w:w="7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7" w:hRule="atLeast"/>
        </w:trPr>
        <w:tc>
          <w:tcPr>
            <w:tcW w:w="576"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序号</w:t>
            </w:r>
          </w:p>
        </w:tc>
        <w:tc>
          <w:tcPr>
            <w:tcW w:w="660" w:type="dxa"/>
            <w:noWrap w:val="0"/>
            <w:vAlign w:val="center"/>
          </w:tcPr>
          <w:p>
            <w:pPr>
              <w:spacing w:line="320" w:lineRule="exact"/>
              <w:jc w:val="center"/>
              <w:rPr>
                <w:rFonts w:ascii="仿宋" w:hAnsi="仿宋" w:eastAsia="仿宋"/>
                <w:bCs/>
                <w:szCs w:val="21"/>
              </w:rPr>
            </w:pPr>
            <w:r>
              <w:rPr>
                <w:rFonts w:hint="eastAsia" w:ascii="仿宋" w:hAnsi="仿宋" w:eastAsia="仿宋"/>
                <w:bCs/>
                <w:szCs w:val="21"/>
                <w:lang w:val="en-US" w:eastAsia="zh-CN"/>
              </w:rPr>
              <w:t>设备</w:t>
            </w:r>
            <w:r>
              <w:rPr>
                <w:rFonts w:hint="eastAsia" w:ascii="仿宋" w:hAnsi="仿宋" w:eastAsia="仿宋"/>
                <w:bCs/>
                <w:szCs w:val="21"/>
              </w:rPr>
              <w:t>名称</w:t>
            </w:r>
          </w:p>
        </w:tc>
        <w:tc>
          <w:tcPr>
            <w:tcW w:w="5179" w:type="dxa"/>
            <w:noWrap w:val="0"/>
            <w:vAlign w:val="center"/>
          </w:tcPr>
          <w:p>
            <w:pPr>
              <w:spacing w:line="320" w:lineRule="exact"/>
              <w:jc w:val="center"/>
              <w:rPr>
                <w:rFonts w:hint="eastAsia" w:ascii="仿宋" w:hAnsi="仿宋" w:eastAsia="仿宋"/>
                <w:bCs/>
                <w:szCs w:val="21"/>
                <w:lang w:eastAsia="zh-CN"/>
              </w:rPr>
            </w:pPr>
            <w:r>
              <w:rPr>
                <w:rFonts w:hint="eastAsia" w:ascii="仿宋" w:hAnsi="仿宋" w:eastAsia="仿宋"/>
                <w:bCs/>
                <w:szCs w:val="21"/>
                <w:lang w:val="en-US" w:eastAsia="zh-CN"/>
              </w:rPr>
              <w:t>参数</w:t>
            </w:r>
          </w:p>
        </w:tc>
        <w:tc>
          <w:tcPr>
            <w:tcW w:w="960" w:type="dxa"/>
            <w:noWrap w:val="0"/>
            <w:vAlign w:val="top"/>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单位</w:t>
            </w:r>
          </w:p>
        </w:tc>
        <w:tc>
          <w:tcPr>
            <w:tcW w:w="780" w:type="dxa"/>
            <w:noWrap w:val="0"/>
            <w:vAlign w:val="top"/>
          </w:tcPr>
          <w:p>
            <w:pPr>
              <w:spacing w:line="320" w:lineRule="exact"/>
              <w:jc w:val="center"/>
              <w:rPr>
                <w:rFonts w:hint="eastAsia" w:ascii="仿宋" w:hAnsi="仿宋" w:eastAsia="仿宋"/>
                <w:bCs/>
                <w:szCs w:val="21"/>
                <w:lang w:val="en-US" w:eastAsia="zh-CN"/>
              </w:rPr>
            </w:pPr>
            <w:r>
              <w:rPr>
                <w:rFonts w:hint="eastAsia" w:ascii="仿宋" w:hAnsi="仿宋" w:eastAsia="仿宋" w:cs="Times New Roman"/>
                <w:bCs/>
                <w:szCs w:val="21"/>
                <w:lang w:val="en-US" w:eastAsia="zh-CN"/>
              </w:rPr>
              <w:t>数量</w:t>
            </w:r>
          </w:p>
        </w:tc>
        <w:tc>
          <w:tcPr>
            <w:tcW w:w="900" w:type="dxa"/>
            <w:noWrap w:val="0"/>
            <w:vAlign w:val="top"/>
          </w:tcPr>
          <w:p>
            <w:pPr>
              <w:spacing w:line="320" w:lineRule="exact"/>
              <w:jc w:val="center"/>
              <w:rPr>
                <w:rFonts w:hint="default" w:ascii="仿宋" w:hAnsi="仿宋" w:eastAsia="仿宋" w:cs="Times New Roman"/>
                <w:bCs/>
                <w:szCs w:val="21"/>
                <w:lang w:val="en-US" w:eastAsia="zh-CN"/>
              </w:rPr>
            </w:pPr>
            <w:r>
              <w:rPr>
                <w:rFonts w:hint="eastAsia" w:ascii="仿宋" w:hAnsi="仿宋" w:eastAsia="仿宋" w:cs="Times New Roman"/>
                <w:bCs/>
                <w:szCs w:val="21"/>
                <w:lang w:val="en-US" w:eastAsia="zh-CN"/>
              </w:rPr>
              <w:t>报价（元）</w:t>
            </w:r>
          </w:p>
        </w:tc>
        <w:tc>
          <w:tcPr>
            <w:tcW w:w="750" w:type="dxa"/>
            <w:noWrap w:val="0"/>
            <w:vAlign w:val="top"/>
          </w:tcPr>
          <w:p>
            <w:pPr>
              <w:spacing w:line="320" w:lineRule="exact"/>
              <w:jc w:val="center"/>
              <w:rPr>
                <w:rFonts w:hint="eastAsia" w:ascii="仿宋" w:hAnsi="仿宋" w:eastAsia="仿宋" w:cs="Times New Roman"/>
                <w:bCs/>
                <w:szCs w:val="21"/>
                <w:lang w:val="en-US" w:eastAsia="zh-CN"/>
              </w:rPr>
            </w:pPr>
            <w:r>
              <w:rPr>
                <w:rFonts w:hint="eastAsia" w:ascii="仿宋" w:hAnsi="仿宋" w:eastAsia="仿宋"/>
                <w:bCs/>
                <w:szCs w:val="21"/>
                <w:lang w:val="en-US" w:eastAsia="zh-CN"/>
              </w:rPr>
              <w:t>响应情况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eastAsia" w:ascii="仿宋" w:hAnsi="仿宋" w:eastAsia="仿宋"/>
                <w:bCs/>
                <w:szCs w:val="21"/>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660" w:type="dxa"/>
            <w:noWrap w:val="0"/>
            <w:vAlign w:val="center"/>
          </w:tcPr>
          <w:p>
            <w:pPr>
              <w:keepNext w:val="0"/>
              <w:keepLines w:val="0"/>
              <w:widowControl/>
              <w:suppressLineNumbers w:val="0"/>
              <w:jc w:val="center"/>
              <w:textAlignment w:val="center"/>
              <w:rPr>
                <w:rFonts w:hint="eastAsia" w:ascii="仿宋" w:hAnsi="仿宋" w:eastAsia="仿宋"/>
                <w:bCs/>
                <w:szCs w:val="21"/>
              </w:rPr>
            </w:pPr>
            <w:r>
              <w:rPr>
                <w:rFonts w:hint="eastAsia" w:ascii="宋体" w:hAnsi="宋体" w:eastAsia="宋体" w:cs="宋体"/>
                <w:i w:val="0"/>
                <w:iCs w:val="0"/>
                <w:color w:val="000000"/>
                <w:kern w:val="0"/>
                <w:sz w:val="24"/>
                <w:szCs w:val="24"/>
                <w:u w:val="none"/>
                <w:lang w:val="en-US" w:eastAsia="zh-CN" w:bidi="ar"/>
              </w:rPr>
              <w:t>监控</w:t>
            </w:r>
          </w:p>
        </w:tc>
        <w:tc>
          <w:tcPr>
            <w:tcW w:w="5179" w:type="dxa"/>
            <w:noWrap w:val="0"/>
            <w:vAlign w:val="center"/>
          </w:tcPr>
          <w:p>
            <w:pPr>
              <w:keepNext w:val="0"/>
              <w:keepLines w:val="0"/>
              <w:widowControl/>
              <w:suppressLineNumbers w:val="0"/>
              <w:jc w:val="left"/>
              <w:textAlignment w:val="center"/>
              <w:rPr>
                <w:rFonts w:hint="default" w:ascii="仿宋" w:hAnsi="仿宋" w:eastAsia="仿宋"/>
                <w:bCs/>
                <w:szCs w:val="21"/>
                <w:lang w:val="en-US" w:eastAsia="zh-CN"/>
              </w:rPr>
            </w:pPr>
            <w:r>
              <w:rPr>
                <w:rFonts w:hint="eastAsia" w:ascii="宋体" w:hAnsi="宋体" w:eastAsia="宋体" w:cs="宋体"/>
                <w:i w:val="0"/>
                <w:iCs w:val="0"/>
                <w:color w:val="000000"/>
                <w:kern w:val="0"/>
                <w:sz w:val="18"/>
                <w:szCs w:val="18"/>
                <w:u w:val="none"/>
                <w:lang w:val="en-US" w:eastAsia="zh-CN" w:bidi="ar"/>
              </w:rPr>
              <w:t>1、设备应采用不低于400万像素CMOS传感器，靶面尺寸不低于1/2.9英寸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2、设备应支持三种智能资源切换：通用行为分析、人脸检测、烟火检测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3、设备应内置高效暖光和红外补光灯，最大红外监控距离不低于30米，最大暖光监控距离不低于20米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4、设备应支持走廊模式，宽动态，3D降噪，强光抑制，背光补偿，数字水印，适用不同监控环境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5、设备应内置麦克风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6、设备应支持烟雾检测，火焰检测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7、设备的静电放电抗扰度限值应符合GB/T17626.2-2018中试验等级4的规定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8、设备的射频电磁场辐射抗扰度限值应符合GB/T17626.3-2016中试验等级4的规定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9、设备使用交流电网电源供电，电快速瞬变脉冲群抗扰度限值应符合GB/T17626.4-2018中等级4的规定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10、设备使用交流电网电源供电，浪涌(冲击)抗扰度限值应符合GB/T17626.5-2019中等级4的规定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11、设备的射频场感应传导骚扰抗扰度限值应符合GB/T17626.6-2017中等级3的规定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12、设备应支持不低于1路音频输入和1路音频输出，内置不低于1路报警输入和1路报警输出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13、设备应支持不低于1路RS485接口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14、设备最大应能支持256G Micro SD卡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15、设备应支持DC12V供电或POE供电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16、设备应支持不低于IP68，IK11防护等级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17、设备防爆等级不低于Ex db IIC T6 Gb/Ex tb IIIC T80℃Db</w:t>
            </w:r>
          </w:p>
        </w:tc>
        <w:tc>
          <w:tcPr>
            <w:tcW w:w="960" w:type="dxa"/>
            <w:noWrap w:val="0"/>
            <w:vAlign w:val="center"/>
          </w:tcPr>
          <w:p>
            <w:pPr>
              <w:keepNext w:val="0"/>
              <w:keepLines w:val="0"/>
              <w:widowControl/>
              <w:suppressLineNumbers w:val="0"/>
              <w:jc w:val="center"/>
              <w:textAlignment w:val="center"/>
              <w:rPr>
                <w:rFonts w:hint="eastAsia" w:ascii="仿宋" w:hAnsi="仿宋" w:eastAsia="仿宋"/>
                <w:bCs/>
                <w:szCs w:val="21"/>
              </w:rPr>
            </w:pPr>
            <w:r>
              <w:rPr>
                <w:rFonts w:hint="eastAsia" w:ascii="宋体" w:hAnsi="宋体" w:eastAsia="宋体" w:cs="宋体"/>
                <w:i w:val="0"/>
                <w:iCs w:val="0"/>
                <w:color w:val="000000"/>
                <w:kern w:val="0"/>
                <w:sz w:val="24"/>
                <w:szCs w:val="24"/>
                <w:u w:val="none"/>
                <w:lang w:val="en-US" w:eastAsia="zh-CN" w:bidi="ar"/>
              </w:rPr>
              <w:t>个</w:t>
            </w:r>
          </w:p>
        </w:tc>
        <w:tc>
          <w:tcPr>
            <w:tcW w:w="780" w:type="dxa"/>
            <w:noWrap w:val="0"/>
            <w:vAlign w:val="center"/>
          </w:tcPr>
          <w:p>
            <w:pPr>
              <w:keepNext w:val="0"/>
              <w:keepLines w:val="0"/>
              <w:widowControl/>
              <w:suppressLineNumbers w:val="0"/>
              <w:jc w:val="center"/>
              <w:textAlignment w:val="center"/>
              <w:rPr>
                <w:rFonts w:hint="eastAsia" w:ascii="仿宋" w:hAnsi="仿宋" w:eastAsia="仿宋"/>
                <w:bCs/>
                <w:szCs w:val="21"/>
              </w:rPr>
            </w:pPr>
            <w:r>
              <w:rPr>
                <w:rFonts w:hint="eastAsia" w:ascii="宋体" w:hAnsi="宋体" w:eastAsia="宋体" w:cs="宋体"/>
                <w:i w:val="0"/>
                <w:iCs w:val="0"/>
                <w:color w:val="000000"/>
                <w:kern w:val="0"/>
                <w:sz w:val="24"/>
                <w:szCs w:val="24"/>
                <w:u w:val="none"/>
                <w:lang w:val="en-US" w:eastAsia="zh-CN" w:bidi="ar"/>
              </w:rPr>
              <w:t>26</w:t>
            </w: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trPr>
        <w:tc>
          <w:tcPr>
            <w:tcW w:w="576"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网线</w:t>
            </w:r>
          </w:p>
        </w:tc>
        <w:tc>
          <w:tcPr>
            <w:tcW w:w="5179"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符合ANSI/TIA-568.2-D 250MHz测试并可扩展至350MHz</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线对间用十字骨架隔离，有效的降低了串扰，增加了结构稳定性</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提供电缆长度标记，减少浪费</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支持语音、数据、视频信号高速传输</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端接方便省时</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支持 PoE/PoE+/PoE++</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可提供多种阻燃等级(成束燃烧、单根垂直燃烧、B1/B2级阻燃、CM/CMR等)</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导体直径：0.57±0.02mm(23AWG)</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绝缘材料：实心PE</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护套材料：PVC/LSZH</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电缆外径：6.3±0.5mm</w:t>
            </w:r>
          </w:p>
        </w:tc>
        <w:tc>
          <w:tcPr>
            <w:tcW w:w="96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78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1760</w:t>
            </w: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w:t>
            </w:r>
          </w:p>
        </w:tc>
        <w:tc>
          <w:tcPr>
            <w:tcW w:w="5179"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电压等级: 300/500V</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温度等级：-15℃～70℃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导体：绞合裸铜导体，指标参考标准GB/T 3956 (5类导体)</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绝缘：聚氯乙烯绝缘，指标参考标准GB/T 5023.1 (PVC/D)</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填充(可选)：PP网状纤维绳或填充条</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包带: 聚酯带</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护套：聚氯乙烯护套，指标参考标准GB/T 5023.1 (PVC/ST5)</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产品规格：2x1.0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绝缘标称厚度：0.6mm</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护套标称厚度：0.8mm</w:t>
            </w:r>
          </w:p>
        </w:tc>
        <w:tc>
          <w:tcPr>
            <w:tcW w:w="96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78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600</w:t>
            </w: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5179"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1～17口为10/100/1000 Base-T自适应以太网端口</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18口为1000 Base-X SFP端口</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交流（AC）输入： 额定电压范围：100-240V～</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同时支持IEEE 802.3af及IEEE802.3at的供电标准</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1～16口为PoE/PoE+端口，每端口支持最大30W的PoE+供电</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整机最大PoE/PoE+输出总功率：180W。PoE供电口输出电压53.5V</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整机总功耗（不带PoE负载）＜18W</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整机总功耗（PoE满载）＜200W</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开关拨到最左边（Mode 1）：端口指示灯指示的是交换机的工作状态，绿色常亮表示为Link，绿色闪烁表示数据收发</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开关拨到最右边（Mode 2）：端口指示灯指示的是端口的PoE工作状态，绿色常亮表示端口在供电，绿色闪烁表示该端口功率过载</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工作温度0ºC～40ºC</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存储温度-40ºC～70ºC</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工作湿度10%～90% RH无冷凝</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存储湿度5%～95% RH无冷凝</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支持自适应风扇调速，在环境温度低于25度且PoE功率小于90W，风扇停转。</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安规 GB 4943.1</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输入对地漏电流参数≤1.5mA</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防雷指标  电源端口共模：±6 kV，差模：±6 kV</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防雷指标  电源端口通讯端口共模：±4 kV</w:t>
            </w:r>
          </w:p>
        </w:tc>
        <w:tc>
          <w:tcPr>
            <w:tcW w:w="96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台</w:t>
            </w:r>
          </w:p>
        </w:tc>
        <w:tc>
          <w:tcPr>
            <w:tcW w:w="78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PVC线管</w:t>
            </w:r>
          </w:p>
        </w:tc>
        <w:tc>
          <w:tcPr>
            <w:tcW w:w="5179"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PVC线管</w:t>
            </w:r>
          </w:p>
        </w:tc>
        <w:tc>
          <w:tcPr>
            <w:tcW w:w="96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米</w:t>
            </w:r>
          </w:p>
        </w:tc>
        <w:tc>
          <w:tcPr>
            <w:tcW w:w="780"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210</w:t>
            </w: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w:t>
            </w: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安装人工调试</w:t>
            </w:r>
          </w:p>
        </w:tc>
        <w:tc>
          <w:tcPr>
            <w:tcW w:w="5179"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安装、施工、调试</w:t>
            </w:r>
          </w:p>
        </w:tc>
        <w:tc>
          <w:tcPr>
            <w:tcW w:w="9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8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5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576" w:type="dxa"/>
            <w:noWrap w:val="0"/>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66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179"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b/>
                <w:bCs/>
                <w:i w:val="0"/>
                <w:iCs w:val="0"/>
                <w:color w:val="000000"/>
                <w:kern w:val="0"/>
                <w:sz w:val="36"/>
                <w:szCs w:val="36"/>
                <w:u w:val="none"/>
                <w:lang w:val="en-US" w:eastAsia="zh-CN" w:bidi="ar"/>
              </w:rPr>
              <w:t>合计</w:t>
            </w:r>
          </w:p>
        </w:tc>
        <w:tc>
          <w:tcPr>
            <w:tcW w:w="3390" w:type="dxa"/>
            <w:gridSpan w:val="4"/>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p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备注：报价包含税、运输、安装 、调试等一切费用。</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、投标文件接收：</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1、投标文件应装订密封（标书一正一副），递交截止时间及开标时间：</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 xml:space="preserve">日下午15:00 </w:t>
      </w:r>
      <w:r>
        <w:rPr>
          <w:rFonts w:hint="eastAsia" w:ascii="仿宋_GB2312" w:hAnsi="仿宋_GB2312" w:eastAsia="仿宋_GB2312" w:cs="仿宋_GB2312"/>
          <w:sz w:val="28"/>
          <w:szCs w:val="28"/>
          <w:lang w:val="en-US" w:eastAsia="zh-CN"/>
        </w:rPr>
        <w:t>前</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2、投标文件递交地址：</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3号楼四</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3、请在投标密封袋上注明：投标项目名称、编号、联系方式。</w:t>
      </w:r>
    </w:p>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（备注：投标文件快递至此即可，以签收时间为准。）</w:t>
      </w: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p>
    <w:p>
      <w:pPr>
        <w:pStyle w:val="35"/>
        <w:spacing w:after="156" w:afterLines="5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bl>
    <w:p>
      <w:pPr>
        <w:pStyle w:val="35"/>
        <w:spacing w:after="0" w:line="480" w:lineRule="exact"/>
        <w:jc w:val="left"/>
        <w:rPr>
          <w:rFonts w:hint="eastAsia" w:ascii="仿宋_GB2312" w:hAnsi="仿宋_GB2312" w:eastAsia="仿宋_GB2312" w:cs="仿宋_GB2312"/>
          <w:b/>
          <w:bCs/>
          <w:lang w:val="en-US" w:eastAsia="zh-CN" w:bidi="ar-SA"/>
        </w:rPr>
      </w:pPr>
    </w:p>
    <w:p>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pPr>
        <w:widowControl/>
        <w:spacing w:line="48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一、成交供应商基本信息</w:t>
      </w:r>
    </w:p>
    <w:p>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pPr>
        <w:spacing w:line="480" w:lineRule="exact"/>
        <w:rPr>
          <w:rFonts w:hint="eastAsia" w:ascii="仿宋_GB2312" w:hAnsi="仿宋_GB2312" w:eastAsia="仿宋_GB2312" w:cs="仿宋_GB2312"/>
          <w:b/>
          <w:bCs/>
          <w:snapToGrid w:val="0"/>
          <w:color w:val="000000"/>
          <w:kern w:val="0"/>
          <w:sz w:val="28"/>
          <w:szCs w:val="28"/>
        </w:rPr>
      </w:pPr>
      <w:bookmarkStart w:id="0" w:name="bookmark19"/>
      <w:bookmarkEnd w:id="0"/>
    </w:p>
    <w:p>
      <w:pPr>
        <w:spacing w:line="480" w:lineRule="exact"/>
        <w:rPr>
          <w:rFonts w:hint="eastAsia" w:ascii="仿宋_GB2312" w:hAnsi="仿宋_GB2312" w:eastAsia="仿宋_GB2312" w:cs="仿宋_GB2312"/>
          <w:b/>
          <w:bCs/>
          <w:snapToGrid w:val="0"/>
          <w:color w:val="000000"/>
          <w:kern w:val="0"/>
          <w:sz w:val="28"/>
          <w:szCs w:val="28"/>
        </w:rPr>
      </w:pP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pStyle w:val="35"/>
        <w:spacing w:after="0" w:line="480" w:lineRule="exact"/>
        <w:jc w:val="left"/>
        <w:rPr>
          <w:rFonts w:hint="eastAsia" w:ascii="仿宋_GB2312" w:hAnsi="仿宋_GB2312" w:eastAsia="仿宋_GB2312" w:cs="仿宋_GB2312"/>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pPr>
        <w:spacing w:line="480" w:lineRule="exact"/>
        <w:jc w:val="center"/>
        <w:rPr>
          <w:rFonts w:hint="eastAsia" w:ascii="仿宋_GB2312" w:hAnsi="仿宋_GB2312" w:eastAsia="仿宋_GB2312" w:cs="仿宋_GB2312"/>
          <w:b/>
          <w:bCs/>
          <w:snapToGrid w:val="0"/>
          <w:color w:val="000000"/>
          <w:kern w:val="0"/>
          <w:sz w:val="28"/>
          <w:szCs w:val="28"/>
        </w:rPr>
      </w:pPr>
    </w:p>
    <w:p>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pPr>
        <w:spacing w:line="480" w:lineRule="exact"/>
        <w:rPr>
          <w:rFonts w:hint="eastAsia" w:ascii="仿宋_GB2312" w:hAnsi="仿宋_GB2312" w:eastAsia="仿宋_GB2312" w:cs="仿宋_GB2312"/>
          <w:sz w:val="24"/>
          <w:szCs w:val="28"/>
        </w:rPr>
      </w:pPr>
    </w:p>
    <w:p>
      <w:pPr>
        <w:pStyle w:val="12"/>
        <w:spacing w:line="480" w:lineRule="exact"/>
        <w:ind w:right="-21" w:firstLine="210"/>
        <w:rPr>
          <w:rFonts w:hint="eastAsia" w:ascii="仿宋_GB2312" w:hAnsi="仿宋_GB2312" w:eastAsia="仿宋_GB2312" w:cs="仿宋_GB2312"/>
        </w:rPr>
      </w:pPr>
    </w:p>
    <w:p>
      <w:pPr>
        <w:pStyle w:val="12"/>
        <w:spacing w:line="480" w:lineRule="exact"/>
        <w:ind w:right="-21" w:firstLine="210"/>
        <w:rPr>
          <w:rFonts w:hint="eastAsia" w:ascii="仿宋_GB2312" w:hAnsi="仿宋_GB2312" w:eastAsia="仿宋_GB2312" w:cs="仿宋_GB2312"/>
        </w:rPr>
      </w:pPr>
    </w:p>
    <w:p>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pPr>
        <w:pStyle w:val="35"/>
        <w:spacing w:line="480" w:lineRule="exact"/>
        <w:jc w:val="righ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pPr>
        <w:pStyle w:val="35"/>
        <w:spacing w:after="0" w:line="480" w:lineRule="exact"/>
        <w:jc w:val="right"/>
        <w:rPr>
          <w:rFonts w:hint="eastAsia" w:ascii="仿宋_GB2312" w:hAnsi="仿宋_GB2312" w:eastAsia="仿宋_GB2312" w:cs="仿宋_GB2312"/>
          <w:lang w:val="en-US" w:eastAsia="zh-CN" w:bidi="ar-SA"/>
        </w:rPr>
      </w:pP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2" w:name="bookmark21"/>
      <w:bookmarkEnd w:id="2"/>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bl>
    <w:p>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spacing w:before="103" w:line="480" w:lineRule="exact"/>
        <w:rPr>
          <w:rFonts w:hint="eastAsia" w:ascii="仿宋_GB2312" w:hAnsi="仿宋_GB2312" w:eastAsia="仿宋_GB2312" w:cs="仿宋_GB2312"/>
          <w:sz w:val="28"/>
          <w:szCs w:val="28"/>
        </w:rPr>
      </w:pPr>
    </w:p>
    <w:p>
      <w:pPr>
        <w:spacing w:line="480" w:lineRule="exact"/>
        <w:rPr>
          <w:rFonts w:hint="eastAsia" w:ascii="仿宋_GB2312" w:hAnsi="仿宋_GB2312" w:eastAsia="仿宋_GB2312" w:cs="仿宋_GB2312"/>
          <w:sz w:val="28"/>
          <w:szCs w:val="28"/>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3" w:name="bookmark24"/>
      <w:bookmarkEnd w:id="3"/>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default" w:ascii="仿宋_GB2312" w:hAnsi="仿宋_GB2312" w:eastAsia="仿宋_GB2312" w:cs="仿宋_GB2312"/>
          <w:lang w:val="en-US" w:eastAsia="zh-CN" w:bidi="ar-SA"/>
        </w:rPr>
      </w:pPr>
    </w:p>
    <w:sectPr>
      <w:headerReference r:id="rId3" w:type="default"/>
      <w:footerReference r:id="rId4" w:type="default"/>
      <w:pgSz w:w="11906" w:h="16838"/>
      <w:pgMar w:top="1361" w:right="175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AE97D7"/>
    <w:multiLevelType w:val="singleLevel"/>
    <w:tmpl w:val="A0AE97D7"/>
    <w:lvl w:ilvl="0" w:tentative="0">
      <w:start w:val="12"/>
      <w:numFmt w:val="chineseCounting"/>
      <w:suff w:val="nothing"/>
      <w:lvlText w:val="%1、"/>
      <w:lvlJc w:val="left"/>
      <w:rPr>
        <w:rFonts w:hint="eastAsia"/>
      </w:rPr>
    </w:lvl>
  </w:abstractNum>
  <w:abstractNum w:abstractNumId="1">
    <w:nsid w:val="F2D2256B"/>
    <w:multiLevelType w:val="singleLevel"/>
    <w:tmpl w:val="F2D2256B"/>
    <w:lvl w:ilvl="0" w:tentative="0">
      <w:start w:val="2"/>
      <w:numFmt w:val="chineseCounting"/>
      <w:suff w:val="space"/>
      <w:lvlText w:val="第%1章"/>
      <w:lvlJc w:val="left"/>
      <w:rPr>
        <w:rFonts w:hint="eastAsia"/>
      </w:rPr>
    </w:lvl>
  </w:abstractNum>
  <w:abstractNum w:abstractNumId="2">
    <w:nsid w:val="00000001"/>
    <w:multiLevelType w:val="singleLevel"/>
    <w:tmpl w:val="0000000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wZWE0MjdkNmUyYzJlNjJmNTM0ODJjOTJiNjk2Y2IifQ=="/>
  </w:docVars>
  <w:rsids>
    <w:rsidRoot w:val="00000000"/>
    <w:rsid w:val="026947F7"/>
    <w:rsid w:val="086A1097"/>
    <w:rsid w:val="095D3437"/>
    <w:rsid w:val="0A4142A1"/>
    <w:rsid w:val="0B5F3278"/>
    <w:rsid w:val="0C381CB4"/>
    <w:rsid w:val="0EAF6971"/>
    <w:rsid w:val="112041FA"/>
    <w:rsid w:val="19F53DD2"/>
    <w:rsid w:val="24FF0B3D"/>
    <w:rsid w:val="256B24DE"/>
    <w:rsid w:val="26DB5D7A"/>
    <w:rsid w:val="2C9E53C3"/>
    <w:rsid w:val="2F8329CC"/>
    <w:rsid w:val="37DC2B24"/>
    <w:rsid w:val="3B5878C5"/>
    <w:rsid w:val="3D713A67"/>
    <w:rsid w:val="3E2D4B12"/>
    <w:rsid w:val="43E24CCB"/>
    <w:rsid w:val="456B5FCB"/>
    <w:rsid w:val="47705F96"/>
    <w:rsid w:val="47E763C2"/>
    <w:rsid w:val="4AC90C04"/>
    <w:rsid w:val="4BC76A5A"/>
    <w:rsid w:val="4E2167B4"/>
    <w:rsid w:val="509C1BAA"/>
    <w:rsid w:val="51AB6CC3"/>
    <w:rsid w:val="552C5BF2"/>
    <w:rsid w:val="5B6A500E"/>
    <w:rsid w:val="5BE22C0C"/>
    <w:rsid w:val="5F0832B5"/>
    <w:rsid w:val="64384FEC"/>
    <w:rsid w:val="66CF4630"/>
    <w:rsid w:val="6C9265BD"/>
    <w:rsid w:val="6F2E5F27"/>
    <w:rsid w:val="6F896259"/>
    <w:rsid w:val="729A38BF"/>
    <w:rsid w:val="75E74C1F"/>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3341</Words>
  <Characters>3702</Characters>
  <Paragraphs>885</Paragraphs>
  <TotalTime>8154</TotalTime>
  <ScaleCrop>false</ScaleCrop>
  <LinksUpToDate>false</LinksUpToDate>
  <CharactersWithSpaces>4083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罗昊</cp:lastModifiedBy>
  <cp:lastPrinted>2023-11-20T00:53:00Z</cp:lastPrinted>
  <dcterms:modified xsi:type="dcterms:W3CDTF">2024-10-07T23:55:51Z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F2E2A456B73A46C782C5933F4A772ADA_13</vt:lpwstr>
  </property>
</Properties>
</file>