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20" w:lineRule="exact"/>
        <w:jc w:val="center"/>
        <w:rPr>
          <w:rFonts w:ascii="仿宋" w:hAnsi="仿宋" w:eastAsia="仿宋"/>
          <w:sz w:val="32"/>
          <w:szCs w:val="32"/>
        </w:rPr>
      </w:pPr>
      <w:r>
        <w:rPr>
          <w:rFonts w:hint="eastAsia" w:asciiTheme="majorEastAsia" w:hAnsiTheme="majorEastAsia" w:eastAsiaTheme="majorEastAsia"/>
          <w:b/>
          <w:sz w:val="32"/>
          <w:szCs w:val="32"/>
        </w:rPr>
        <w:t>附件：拟购</w:t>
      </w:r>
      <w:r>
        <w:rPr>
          <w:rFonts w:hint="eastAsia" w:asciiTheme="majorEastAsia" w:hAnsiTheme="majorEastAsia" w:eastAsiaTheme="majorEastAsia"/>
          <w:b/>
          <w:sz w:val="36"/>
          <w:szCs w:val="36"/>
        </w:rPr>
        <w:t>智能病历质控系统</w:t>
      </w:r>
      <w:r>
        <w:rPr>
          <w:rFonts w:hint="eastAsia" w:asciiTheme="majorEastAsia" w:hAnsiTheme="majorEastAsia" w:eastAsiaTheme="majorEastAsia"/>
          <w:b/>
          <w:sz w:val="36"/>
          <w:szCs w:val="36"/>
          <w:lang w:val="en-US" w:eastAsia="zh-CN"/>
        </w:rPr>
        <w:t>项目</w:t>
      </w:r>
      <w:r>
        <w:rPr>
          <w:rFonts w:hint="eastAsia" w:asciiTheme="majorEastAsia" w:hAnsiTheme="majorEastAsia" w:eastAsiaTheme="majorEastAsia"/>
          <w:b/>
          <w:sz w:val="32"/>
          <w:szCs w:val="32"/>
        </w:rPr>
        <w:t>初步参数论证征集意见表</w:t>
      </w:r>
    </w:p>
    <w:p>
      <w:pPr>
        <w:spacing w:line="320" w:lineRule="exact"/>
        <w:rPr>
          <w:rFonts w:ascii="仿宋" w:hAnsi="仿宋" w:eastAsia="仿宋"/>
          <w:sz w:val="24"/>
          <w:szCs w:val="24"/>
        </w:rPr>
      </w:pP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szCs w:val="21"/>
          <w:u w:val="single"/>
        </w:rPr>
      </w:pPr>
      <w:r>
        <w:rPr>
          <w:rFonts w:hint="eastAsia" w:ascii="仿宋" w:hAnsi="仿宋" w:eastAsia="仿宋"/>
          <w:szCs w:val="21"/>
        </w:rPr>
        <w:t>供应商、联系人及电话（加盖公章）：</w:t>
      </w:r>
      <w:r>
        <w:rPr>
          <w:rFonts w:hint="eastAsia" w:ascii="仿宋" w:hAnsi="仿宋" w:eastAsia="仿宋"/>
          <w:szCs w:val="21"/>
          <w:u w:val="single"/>
        </w:rPr>
        <w:t xml:space="preserve">                                                      </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szCs w:val="21"/>
          <w:u w:val="single"/>
        </w:rPr>
      </w:pPr>
      <w:r>
        <w:rPr>
          <w:rFonts w:hint="eastAsia" w:ascii="仿宋" w:hAnsi="仿宋" w:eastAsia="仿宋"/>
          <w:szCs w:val="21"/>
        </w:rPr>
        <w:t>产品品牌、规格型号、产地、医疗器械注册证号及最低报价：</w:t>
      </w:r>
      <w:r>
        <w:rPr>
          <w:rFonts w:hint="eastAsia" w:ascii="仿宋" w:hAnsi="仿宋" w:eastAsia="仿宋"/>
          <w:szCs w:val="21"/>
          <w:u w:val="single"/>
        </w:rPr>
        <w:t xml:space="preserve">                                 </w:t>
      </w:r>
    </w:p>
    <w:p>
      <w:pPr>
        <w:keepNext w:val="0"/>
        <w:keepLines w:val="0"/>
        <w:pageBreakBefore w:val="0"/>
        <w:widowControl w:val="0"/>
        <w:kinsoku/>
        <w:wordWrap/>
        <w:overflowPunct/>
        <w:topLinePunct w:val="0"/>
        <w:autoSpaceDE/>
        <w:autoSpaceDN/>
        <w:bidi w:val="0"/>
        <w:adjustRightInd/>
        <w:snapToGrid/>
        <w:spacing w:line="300" w:lineRule="exact"/>
        <w:ind w:firstLine="422" w:firstLineChars="200"/>
        <w:textAlignment w:val="auto"/>
        <w:rPr>
          <w:rFonts w:hint="eastAsia" w:ascii="仿宋" w:hAnsi="仿宋" w:eastAsia="仿宋"/>
          <w:b/>
          <w:szCs w:val="21"/>
        </w:rPr>
      </w:pPr>
      <w:r>
        <w:rPr>
          <w:rFonts w:hint="eastAsia" w:ascii="仿宋" w:hAnsi="仿宋" w:eastAsia="仿宋"/>
          <w:b/>
          <w:szCs w:val="21"/>
        </w:rPr>
        <w:t>备注：</w:t>
      </w:r>
    </w:p>
    <w:p>
      <w:pPr>
        <w:keepNext w:val="0"/>
        <w:keepLines w:val="0"/>
        <w:pageBreakBefore w:val="0"/>
        <w:widowControl w:val="0"/>
        <w:kinsoku/>
        <w:wordWrap/>
        <w:overflowPunct/>
        <w:topLinePunct w:val="0"/>
        <w:autoSpaceDE/>
        <w:autoSpaceDN/>
        <w:bidi w:val="0"/>
        <w:adjustRightInd/>
        <w:snapToGrid/>
        <w:spacing w:line="300" w:lineRule="exact"/>
        <w:ind w:firstLine="420" w:firstLineChars="200"/>
        <w:textAlignment w:val="auto"/>
        <w:rPr>
          <w:rFonts w:ascii="仿宋" w:hAnsi="仿宋" w:eastAsia="仿宋"/>
          <w:szCs w:val="21"/>
        </w:rPr>
      </w:pPr>
      <w:r>
        <w:rPr>
          <w:rFonts w:hint="eastAsia" w:ascii="仿宋" w:hAnsi="仿宋" w:eastAsia="仿宋"/>
          <w:szCs w:val="21"/>
        </w:rPr>
        <w:t>1、按要求格式填写并每页加盖报名供应商公章【电子章无效】，在规定时间内以</w:t>
      </w:r>
      <w:r>
        <w:rPr>
          <w:rFonts w:hint="eastAsia" w:ascii="仿宋" w:hAnsi="仿宋" w:eastAsia="仿宋"/>
          <w:b/>
          <w:szCs w:val="21"/>
        </w:rPr>
        <w:t>原件扫描件和电子版形式</w:t>
      </w:r>
      <w:r>
        <w:rPr>
          <w:rFonts w:hint="eastAsia" w:ascii="仿宋" w:hAnsi="仿宋" w:eastAsia="仿宋"/>
          <w:szCs w:val="21"/>
        </w:rPr>
        <w:t>发送至医院指定邮箱（</w:t>
      </w:r>
      <w:r>
        <w:rPr>
          <w:rFonts w:hint="eastAsia" w:ascii="仿宋" w:hAnsi="仿宋" w:eastAsia="仿宋"/>
          <w:szCs w:val="21"/>
          <w:u w:val="single"/>
        </w:rPr>
        <w:t>招标办</w:t>
      </w:r>
      <w:r>
        <w:rPr>
          <w:rFonts w:hint="eastAsia" w:ascii="仿宋" w:hAnsi="仿宋" w:eastAsia="仿宋"/>
          <w:szCs w:val="21"/>
        </w:rPr>
        <w:t>：2523245199@qq.com</w:t>
      </w:r>
      <w:r>
        <w:rPr>
          <w:rFonts w:hint="eastAsia" w:ascii="仿宋" w:hAnsi="仿宋" w:eastAsia="仿宋"/>
          <w:szCs w:val="21"/>
          <w:u w:val="single"/>
        </w:rPr>
        <w:t>和归口科室</w:t>
      </w:r>
      <w:r>
        <w:rPr>
          <w:rFonts w:hint="eastAsia" w:ascii="仿宋" w:hAnsi="仿宋" w:eastAsia="仿宋"/>
          <w:szCs w:val="21"/>
        </w:rPr>
        <w:t>【设备</w:t>
      </w:r>
      <w:r>
        <w:rPr>
          <w:rFonts w:hint="eastAsia" w:ascii="仿宋" w:hAnsi="仿宋" w:eastAsia="仿宋"/>
          <w:szCs w:val="21"/>
          <w:lang w:val="en-US" w:eastAsia="zh-CN"/>
        </w:rPr>
        <w:t>工程部</w:t>
      </w:r>
      <w:r>
        <w:rPr>
          <w:rFonts w:hint="eastAsia" w:ascii="仿宋" w:hAnsi="仿宋" w:eastAsia="仿宋"/>
          <w:szCs w:val="21"/>
        </w:rPr>
        <w:t>□、</w:t>
      </w:r>
      <w:r>
        <w:rPr>
          <w:rFonts w:hint="eastAsia" w:ascii="仿宋" w:hAnsi="仿宋" w:eastAsia="仿宋"/>
          <w:szCs w:val="21"/>
          <w:lang w:val="en-US" w:eastAsia="zh-CN"/>
        </w:rPr>
        <w:t>信息管理部</w:t>
      </w:r>
      <w:r>
        <w:rPr>
          <w:rFonts w:hint="eastAsia" w:ascii="仿宋" w:hAnsi="仿宋" w:eastAsia="仿宋"/>
          <w:szCs w:val="21"/>
          <w:lang w:eastAsia="zh-CN"/>
        </w:rPr>
        <w:t>☑</w:t>
      </w:r>
      <w:r>
        <w:rPr>
          <w:rFonts w:hint="eastAsia" w:ascii="仿宋" w:hAnsi="仿宋" w:eastAsia="仿宋"/>
          <w:szCs w:val="21"/>
        </w:rPr>
        <w:t>、</w:t>
      </w:r>
      <w:r>
        <w:rPr>
          <w:rFonts w:hint="eastAsia" w:ascii="仿宋" w:hAnsi="仿宋" w:eastAsia="仿宋"/>
          <w:szCs w:val="21"/>
          <w:lang w:val="en-US" w:eastAsia="zh-CN"/>
        </w:rPr>
        <w:t>后勤保障部</w:t>
      </w:r>
      <w:r>
        <w:rPr>
          <w:rFonts w:hint="eastAsia" w:ascii="仿宋" w:hAnsi="仿宋" w:eastAsia="仿宋"/>
          <w:szCs w:val="21"/>
        </w:rPr>
        <w:t>□及其他□</w:t>
      </w:r>
      <w:r>
        <w:rPr>
          <w:rFonts w:hint="eastAsia" w:ascii="仿宋" w:hAnsi="仿宋" w:eastAsia="仿宋"/>
          <w:szCs w:val="21"/>
          <w:u w:val="single"/>
        </w:rPr>
        <w:t xml:space="preserve">          </w:t>
      </w:r>
      <w:r>
        <w:rPr>
          <w:rFonts w:hint="eastAsia" w:ascii="仿宋" w:hAnsi="仿宋" w:eastAsia="仿宋"/>
          <w:szCs w:val="21"/>
        </w:rPr>
        <w:t>】：LASZYYXXK@163.com</w:t>
      </w:r>
      <w:r>
        <w:rPr>
          <w:rFonts w:hint="eastAsia" w:ascii="仿宋" w:hAnsi="仿宋" w:eastAsia="仿宋"/>
          <w:szCs w:val="21"/>
          <w:u w:val="single"/>
        </w:rPr>
        <w:t xml:space="preserve"> </w:t>
      </w:r>
      <w:r>
        <w:rPr>
          <w:rFonts w:hint="eastAsia" w:ascii="仿宋" w:hAnsi="仿宋" w:eastAsia="仿宋"/>
          <w:szCs w:val="21"/>
        </w:rPr>
        <w:t>）；</w:t>
      </w:r>
    </w:p>
    <w:p>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420" w:firstLineChars="200"/>
        <w:textAlignment w:val="auto"/>
        <w:rPr>
          <w:rFonts w:hint="eastAsia" w:ascii="仿宋" w:hAnsi="仿宋" w:eastAsia="仿宋"/>
          <w:b/>
          <w:szCs w:val="21"/>
          <w:u w:val="single"/>
        </w:rPr>
      </w:pPr>
      <w:r>
        <w:rPr>
          <w:rFonts w:hint="eastAsia" w:ascii="仿宋" w:hAnsi="仿宋" w:eastAsia="仿宋"/>
          <w:szCs w:val="21"/>
          <w:lang w:val="en-US" w:eastAsia="zh-CN"/>
        </w:rPr>
        <w:t>2、</w:t>
      </w:r>
      <w:r>
        <w:rPr>
          <w:rFonts w:hint="eastAsia" w:ascii="仿宋" w:hAnsi="仿宋" w:eastAsia="仿宋"/>
          <w:szCs w:val="21"/>
        </w:rPr>
        <w:t>响应情况（是/否）若为否则</w:t>
      </w:r>
      <w:r>
        <w:rPr>
          <w:rFonts w:hint="eastAsia" w:ascii="仿宋" w:hAnsi="仿宋" w:eastAsia="仿宋"/>
          <w:szCs w:val="21"/>
          <w:lang w:eastAsia="zh-CN"/>
        </w:rPr>
        <w:t>须标注</w:t>
      </w:r>
      <w:r>
        <w:rPr>
          <w:rFonts w:hint="eastAsia" w:ascii="仿宋" w:hAnsi="仿宋" w:eastAsia="仿宋"/>
          <w:szCs w:val="21"/>
        </w:rPr>
        <w:t>具体建议修改</w:t>
      </w:r>
      <w:r>
        <w:rPr>
          <w:rFonts w:hint="eastAsia" w:ascii="仿宋" w:hAnsi="仿宋" w:eastAsia="仿宋"/>
          <w:szCs w:val="21"/>
          <w:lang w:eastAsia="zh-CN"/>
        </w:rPr>
        <w:t>指标（</w:t>
      </w:r>
      <w:r>
        <w:rPr>
          <w:rFonts w:hint="eastAsia" w:ascii="仿宋" w:hAnsi="仿宋" w:eastAsia="仿宋"/>
          <w:b/>
          <w:bCs/>
          <w:szCs w:val="21"/>
          <w:lang w:eastAsia="zh-CN"/>
        </w:rPr>
        <w:t>未标注则默认为响应初步参数</w:t>
      </w:r>
      <w:r>
        <w:rPr>
          <w:rFonts w:hint="eastAsia" w:ascii="仿宋" w:hAnsi="仿宋" w:eastAsia="仿宋"/>
          <w:szCs w:val="21"/>
          <w:lang w:eastAsia="zh-CN"/>
        </w:rPr>
        <w:t>）</w:t>
      </w:r>
      <w:r>
        <w:rPr>
          <w:rFonts w:hint="eastAsia" w:ascii="仿宋" w:hAnsi="仿宋" w:eastAsia="仿宋"/>
          <w:szCs w:val="21"/>
        </w:rPr>
        <w:t>，</w:t>
      </w:r>
      <w:r>
        <w:rPr>
          <w:rFonts w:hint="eastAsia" w:ascii="仿宋" w:hAnsi="仿宋" w:eastAsia="仿宋"/>
          <w:b/>
          <w:bCs/>
          <w:szCs w:val="21"/>
        </w:rPr>
        <w:t>建议修改</w:t>
      </w:r>
      <w:r>
        <w:rPr>
          <w:rFonts w:hint="eastAsia" w:ascii="仿宋" w:hAnsi="仿宋" w:eastAsia="仿宋"/>
          <w:b/>
          <w:bCs/>
          <w:szCs w:val="21"/>
          <w:lang w:eastAsia="zh-CN"/>
        </w:rPr>
        <w:t>指标</w:t>
      </w:r>
      <w:r>
        <w:rPr>
          <w:rFonts w:hint="eastAsia" w:ascii="仿宋" w:hAnsi="仿宋" w:eastAsia="仿宋"/>
          <w:b/>
          <w:bCs/>
          <w:szCs w:val="21"/>
        </w:rPr>
        <w:t>须</w:t>
      </w:r>
      <w:r>
        <w:rPr>
          <w:rFonts w:hint="eastAsia" w:ascii="仿宋" w:hAnsi="仿宋" w:eastAsia="仿宋"/>
          <w:b/>
          <w:bCs/>
          <w:szCs w:val="21"/>
          <w:lang w:eastAsia="zh-CN"/>
        </w:rPr>
        <w:t>提供相应证明材料</w:t>
      </w:r>
      <w:r>
        <w:rPr>
          <w:rFonts w:hint="eastAsia" w:ascii="仿宋" w:hAnsi="仿宋" w:eastAsia="仿宋"/>
          <w:szCs w:val="21"/>
        </w:rPr>
        <w:t>（</w:t>
      </w:r>
      <w:r>
        <w:rPr>
          <w:rFonts w:hint="eastAsia" w:ascii="仿宋" w:hAnsi="仿宋" w:eastAsia="仿宋" w:cs="仿宋"/>
          <w:b w:val="0"/>
          <w:bCs/>
          <w:szCs w:val="21"/>
          <w:lang w:eastAsia="zh-CN"/>
        </w:rPr>
        <w:t>★项</w:t>
      </w:r>
      <w:r>
        <w:rPr>
          <w:rFonts w:hint="eastAsia" w:ascii="仿宋" w:hAnsi="仿宋" w:eastAsia="仿宋"/>
          <w:szCs w:val="21"/>
          <w:lang w:eastAsia="zh-CN"/>
        </w:rPr>
        <w:t>证明材料须为政府主管部门【或</w:t>
      </w:r>
      <w:r>
        <w:rPr>
          <w:rStyle w:val="15"/>
          <w:rFonts w:hint="eastAsia" w:ascii="仿宋" w:hAnsi="仿宋" w:eastAsia="仿宋" w:cs="仿宋"/>
          <w:b w:val="0"/>
          <w:bCs/>
          <w:color w:val="auto"/>
          <w:sz w:val="21"/>
          <w:szCs w:val="21"/>
          <w:lang w:eastAsia="zh-CN"/>
        </w:rPr>
        <w:t>具备</w:t>
      </w:r>
      <w:r>
        <w:rPr>
          <w:rStyle w:val="15"/>
          <w:rFonts w:hint="eastAsia" w:ascii="仿宋" w:hAnsi="仿宋" w:eastAsia="仿宋" w:cs="仿宋"/>
          <w:b w:val="0"/>
          <w:bCs/>
          <w:color w:val="auto"/>
          <w:sz w:val="21"/>
          <w:szCs w:val="21"/>
          <w:lang w:val="en-US" w:eastAsia="zh-CN"/>
        </w:rPr>
        <w:t>CMA&lt;或CNAS&gt;资质检测机构】出具的</w:t>
      </w:r>
      <w:r>
        <w:rPr>
          <w:rFonts w:hint="eastAsia" w:ascii="仿宋" w:hAnsi="仿宋" w:eastAsia="仿宋"/>
          <w:szCs w:val="21"/>
          <w:lang w:eastAsia="zh-CN"/>
        </w:rPr>
        <w:t>检测报告，非</w:t>
      </w:r>
      <w:r>
        <w:rPr>
          <w:rFonts w:hint="eastAsia" w:ascii="仿宋" w:hAnsi="仿宋" w:eastAsia="仿宋" w:cs="仿宋"/>
          <w:b w:val="0"/>
          <w:bCs/>
          <w:szCs w:val="21"/>
          <w:lang w:eastAsia="zh-CN"/>
        </w:rPr>
        <w:t>★项</w:t>
      </w:r>
      <w:r>
        <w:rPr>
          <w:rFonts w:hint="eastAsia" w:ascii="仿宋" w:hAnsi="仿宋" w:eastAsia="仿宋"/>
          <w:szCs w:val="21"/>
          <w:lang w:eastAsia="zh-CN"/>
        </w:rPr>
        <w:t>证明材料可为除彩页外的其他材料，</w:t>
      </w:r>
      <w:r>
        <w:rPr>
          <w:rFonts w:hint="eastAsia" w:ascii="仿宋" w:hAnsi="仿宋" w:eastAsia="仿宋"/>
          <w:b/>
          <w:bCs/>
          <w:szCs w:val="21"/>
          <w:lang w:eastAsia="zh-CN"/>
        </w:rPr>
        <w:t>无证明材料则可不予采纳</w:t>
      </w:r>
      <w:r>
        <w:rPr>
          <w:rFonts w:hint="eastAsia" w:ascii="仿宋" w:hAnsi="仿宋" w:eastAsia="仿宋"/>
          <w:szCs w:val="21"/>
          <w:lang w:eastAsia="zh-CN"/>
        </w:rPr>
        <w:t>；建议修改意见</w:t>
      </w:r>
      <w:r>
        <w:rPr>
          <w:rFonts w:hint="eastAsia" w:ascii="仿宋" w:hAnsi="仿宋" w:eastAsia="仿宋"/>
          <w:szCs w:val="21"/>
        </w:rPr>
        <w:t>原则上须满足业界主流品牌同档次水平产品</w:t>
      </w:r>
      <w:r>
        <w:rPr>
          <w:rFonts w:hint="eastAsia" w:ascii="仿宋" w:hAnsi="仿宋" w:eastAsia="仿宋"/>
          <w:szCs w:val="21"/>
          <w:lang w:eastAsia="zh-CN"/>
        </w:rPr>
        <w:t>且不得为独家</w:t>
      </w:r>
      <w:r>
        <w:rPr>
          <w:rFonts w:hint="eastAsia" w:ascii="仿宋" w:hAnsi="仿宋" w:eastAsia="仿宋"/>
          <w:szCs w:val="21"/>
        </w:rPr>
        <w:t>），</w:t>
      </w:r>
      <w:r>
        <w:rPr>
          <w:rFonts w:hint="eastAsia" w:ascii="仿宋" w:hAnsi="仿宋" w:eastAsia="仿宋"/>
          <w:b/>
          <w:szCs w:val="21"/>
          <w:u w:val="single"/>
        </w:rPr>
        <w:t>同时务必备注本品牌本规格型号产品相对应的真实指标并标注是否为独家（供医院汇总定稿版参数时选择）；</w:t>
      </w:r>
    </w:p>
    <w:p>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420" w:firstLineChars="200"/>
        <w:textAlignment w:val="auto"/>
        <w:rPr>
          <w:rFonts w:hint="eastAsia" w:ascii="仿宋" w:hAnsi="仿宋" w:eastAsia="仿宋"/>
          <w:b w:val="0"/>
          <w:bCs/>
          <w:szCs w:val="21"/>
          <w:u w:val="none"/>
          <w:lang w:eastAsia="zh-CN"/>
        </w:rPr>
      </w:pPr>
      <w:r>
        <w:rPr>
          <w:rFonts w:hint="eastAsia" w:ascii="仿宋" w:hAnsi="仿宋" w:eastAsia="仿宋"/>
          <w:b w:val="0"/>
          <w:bCs/>
          <w:szCs w:val="21"/>
          <w:u w:val="none"/>
          <w:lang w:val="en-US" w:eastAsia="zh-CN"/>
        </w:rPr>
        <w:t>3、院方根据各</w:t>
      </w:r>
      <w:r>
        <w:rPr>
          <w:rFonts w:hint="eastAsia" w:ascii="仿宋" w:hAnsi="仿宋" w:eastAsia="仿宋"/>
          <w:b w:val="0"/>
          <w:bCs/>
          <w:szCs w:val="21"/>
          <w:u w:val="none"/>
          <w:lang w:eastAsia="zh-CN"/>
        </w:rPr>
        <w:t>潜在供应商提供的配套耗材和须定期更换零部件的报价清单</w:t>
      </w:r>
      <w:r>
        <w:rPr>
          <w:rFonts w:hint="eastAsia" w:ascii="仿宋" w:hAnsi="仿宋" w:eastAsia="仿宋"/>
          <w:b w:val="0"/>
          <w:bCs/>
          <w:szCs w:val="21"/>
          <w:u w:val="none"/>
          <w:lang w:val="en-US" w:eastAsia="zh-CN"/>
        </w:rPr>
        <w:t>(须同步提供近2年内至少3家二级及以上医院发票原件扫描件和入库清单【遮挡无效】)进行</w:t>
      </w:r>
      <w:r>
        <w:rPr>
          <w:rFonts w:hint="eastAsia" w:ascii="仿宋" w:hAnsi="仿宋" w:eastAsia="仿宋"/>
          <w:b w:val="0"/>
          <w:bCs/>
          <w:szCs w:val="21"/>
          <w:u w:val="none"/>
          <w:lang w:eastAsia="zh-CN"/>
        </w:rPr>
        <w:t>设置相关报价限价，若潜在供应商均未提供报价清单（含发票原件扫描件和入库清单）则视同本项目无耗材和须定期更换零部件。</w:t>
      </w:r>
    </w:p>
    <w:p>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422" w:firstLineChars="200"/>
        <w:textAlignment w:val="auto"/>
        <w:rPr>
          <w:rFonts w:ascii="仿宋" w:hAnsi="仿宋" w:eastAsia="仿宋"/>
          <w:szCs w:val="21"/>
        </w:rPr>
      </w:pPr>
      <w:r>
        <w:rPr>
          <w:rFonts w:hint="eastAsia" w:ascii="仿宋" w:hAnsi="仿宋" w:eastAsia="仿宋"/>
          <w:b/>
          <w:bCs w:val="0"/>
          <w:szCs w:val="21"/>
          <w:u w:val="none"/>
          <w:lang w:val="en-US" w:eastAsia="zh-CN"/>
        </w:rPr>
        <w:t>4、</w:t>
      </w:r>
      <w:r>
        <w:rPr>
          <w:rFonts w:hint="eastAsia" w:ascii="仿宋" w:hAnsi="仿宋" w:eastAsia="仿宋"/>
          <w:b/>
          <w:bCs w:val="0"/>
          <w:szCs w:val="21"/>
          <w:u w:val="none"/>
          <w:lang w:eastAsia="zh-CN"/>
        </w:rPr>
        <w:t>杜绝两现象：</w:t>
      </w:r>
      <w:r>
        <w:rPr>
          <w:rFonts w:hint="eastAsia" w:ascii="仿宋" w:hAnsi="仿宋" w:eastAsia="仿宋"/>
          <w:b w:val="0"/>
          <w:bCs/>
          <w:szCs w:val="21"/>
          <w:u w:val="none"/>
          <w:lang w:eastAsia="zh-CN"/>
        </w:rPr>
        <w:t>一是整机保修</w:t>
      </w:r>
      <w:r>
        <w:rPr>
          <w:rFonts w:hint="eastAsia" w:ascii="仿宋" w:hAnsi="仿宋" w:eastAsia="仿宋"/>
          <w:b w:val="0"/>
          <w:bCs/>
          <w:szCs w:val="21"/>
          <w:u w:val="none"/>
          <w:lang w:val="en-US" w:eastAsia="zh-CN"/>
        </w:rPr>
        <w:t>3年，保修范围不包含须定期更换零部件，须定期更换零部件报价清单如下...；二是将须定期更换零部件变为耗材，恶意降低货物价格，提高耗材价（或直接提高耗材报价）。</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仿宋" w:hAnsi="仿宋" w:eastAsia="仿宋"/>
          <w:b/>
          <w:bCs w:val="0"/>
          <w:szCs w:val="21"/>
          <w:lang w:eastAsia="zh-CN"/>
        </w:rPr>
      </w:pPr>
      <w:r>
        <w:rPr>
          <w:rFonts w:hint="eastAsia" w:ascii="仿宋" w:hAnsi="仿宋" w:eastAsia="仿宋"/>
          <w:b/>
          <w:bCs w:val="0"/>
          <w:szCs w:val="21"/>
        </w:rPr>
        <w:t>附件：配套耗材、试剂【单人次费用】及须定期更换零部件报价清单（样表【若无则标注“无”且不可删除】、可单列</w:t>
      </w:r>
      <w:r>
        <w:rPr>
          <w:rFonts w:hint="eastAsia" w:ascii="仿宋" w:hAnsi="仿宋" w:eastAsia="仿宋"/>
          <w:b/>
          <w:bCs w:val="0"/>
          <w:szCs w:val="21"/>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420" w:firstLineChars="200"/>
        <w:textAlignment w:val="auto"/>
        <w:rPr>
          <w:rFonts w:hint="eastAsia" w:ascii="仿宋" w:hAnsi="仿宋" w:eastAsia="仿宋"/>
          <w:b/>
          <w:szCs w:val="21"/>
        </w:rPr>
      </w:pPr>
      <w:r>
        <w:rPr>
          <w:rFonts w:hint="eastAsia" w:ascii="仿宋" w:hAnsi="仿宋" w:eastAsia="仿宋" w:cs="仿宋"/>
          <w:b w:val="0"/>
          <w:bCs/>
          <w:szCs w:val="21"/>
          <w:lang w:val="en-US" w:eastAsia="zh-CN"/>
        </w:rPr>
        <w:t>5、</w:t>
      </w:r>
      <w:r>
        <w:rPr>
          <w:rFonts w:hint="eastAsia" w:ascii="仿宋" w:hAnsi="仿宋" w:eastAsia="仿宋" w:cs="仿宋"/>
          <w:b w:val="0"/>
          <w:bCs/>
          <w:color w:val="FF0000"/>
          <w:szCs w:val="21"/>
          <w:lang w:val="en-US" w:eastAsia="zh-CN"/>
        </w:rPr>
        <w:t>拟设置为</w:t>
      </w:r>
      <w:r>
        <w:rPr>
          <w:rFonts w:hint="eastAsia" w:ascii="仿宋" w:hAnsi="仿宋" w:eastAsia="仿宋" w:cs="仿宋"/>
          <w:b w:val="0"/>
          <w:bCs/>
          <w:color w:val="auto"/>
          <w:szCs w:val="21"/>
          <w:lang w:eastAsia="zh-CN"/>
        </w:rPr>
        <w:t>★项参数</w:t>
      </w:r>
      <w:r>
        <w:rPr>
          <w:rFonts w:hint="eastAsia" w:ascii="仿宋" w:hAnsi="仿宋" w:eastAsia="仿宋" w:cs="仿宋"/>
          <w:b w:val="0"/>
          <w:bCs/>
          <w:color w:val="FF0000"/>
          <w:szCs w:val="21"/>
          <w:lang w:val="en-US" w:eastAsia="zh-CN"/>
        </w:rPr>
        <w:t>(</w:t>
      </w:r>
      <w:r>
        <w:rPr>
          <w:rFonts w:hint="eastAsia" w:ascii="仿宋" w:hAnsi="仿宋" w:eastAsia="仿宋" w:cs="仿宋"/>
          <w:b w:val="0"/>
          <w:bCs/>
          <w:color w:val="FF0000"/>
          <w:szCs w:val="21"/>
          <w:lang w:eastAsia="zh-CN"/>
        </w:rPr>
        <w:t>★项标准：</w:t>
      </w:r>
      <w:r>
        <w:rPr>
          <w:rFonts w:hint="eastAsia" w:ascii="仿宋" w:hAnsi="仿宋" w:eastAsia="仿宋" w:cs="仿宋"/>
          <w:b w:val="0"/>
          <w:bCs/>
          <w:color w:val="FF0000"/>
          <w:szCs w:val="21"/>
          <w:lang w:val="en-US" w:eastAsia="zh-CN"/>
        </w:rPr>
        <w:t>拟购设备核心参数指标</w:t>
      </w:r>
      <w:r>
        <w:rPr>
          <w:rFonts w:hint="eastAsia" w:ascii="仿宋" w:hAnsi="仿宋" w:eastAsia="仿宋" w:cs="仿宋"/>
          <w:b/>
          <w:bCs w:val="0"/>
          <w:color w:val="auto"/>
          <w:szCs w:val="21"/>
          <w:lang w:val="en-US" w:eastAsia="zh-CN"/>
        </w:rPr>
        <w:t>【如有不妥，请提出并提供权威部门证明文件，否则不予采纳】)</w:t>
      </w:r>
      <w:r>
        <w:rPr>
          <w:rFonts w:hint="eastAsia" w:ascii="仿宋" w:hAnsi="仿宋" w:eastAsia="仿宋" w:cs="仿宋"/>
          <w:b w:val="0"/>
          <w:bCs/>
          <w:szCs w:val="21"/>
          <w:lang w:eastAsia="zh-CN"/>
        </w:rPr>
        <w:t>要求投标人在投标文件中所提供的证明材料须为</w:t>
      </w:r>
      <w:r>
        <w:rPr>
          <w:rFonts w:hint="eastAsia" w:ascii="仿宋" w:hAnsi="仿宋" w:eastAsia="仿宋" w:cs="仿宋"/>
          <w:b w:val="0"/>
          <w:bCs/>
          <w:color w:val="auto"/>
          <w:sz w:val="21"/>
          <w:szCs w:val="21"/>
        </w:rPr>
        <w:t>政府主管部门</w:t>
      </w:r>
      <w:r>
        <w:rPr>
          <w:rFonts w:hint="eastAsia" w:ascii="仿宋" w:hAnsi="仿宋" w:eastAsia="仿宋" w:cs="仿宋"/>
          <w:b/>
          <w:bCs w:val="0"/>
          <w:color w:val="auto"/>
          <w:sz w:val="21"/>
          <w:szCs w:val="21"/>
          <w:lang w:eastAsia="zh-CN"/>
        </w:rPr>
        <w:t>（</w:t>
      </w:r>
      <w:r>
        <w:rPr>
          <w:rStyle w:val="15"/>
          <w:rFonts w:hint="eastAsia" w:ascii="仿宋" w:hAnsi="仿宋" w:eastAsia="仿宋" w:cs="仿宋"/>
          <w:b/>
          <w:bCs w:val="0"/>
          <w:color w:val="auto"/>
          <w:sz w:val="21"/>
          <w:szCs w:val="21"/>
          <w:lang w:eastAsia="zh-CN"/>
        </w:rPr>
        <w:t>或具备</w:t>
      </w:r>
      <w:r>
        <w:rPr>
          <w:rStyle w:val="15"/>
          <w:rFonts w:hint="eastAsia" w:ascii="仿宋" w:hAnsi="仿宋" w:eastAsia="仿宋" w:cs="仿宋"/>
          <w:b/>
          <w:bCs w:val="0"/>
          <w:color w:val="auto"/>
          <w:sz w:val="21"/>
          <w:szCs w:val="21"/>
          <w:lang w:val="en-US" w:eastAsia="zh-CN"/>
        </w:rPr>
        <w:t>CMA【或CNAS】资质检测机构）</w:t>
      </w:r>
      <w:r>
        <w:rPr>
          <w:rStyle w:val="15"/>
          <w:rFonts w:hint="eastAsia" w:ascii="仿宋" w:hAnsi="仿宋" w:eastAsia="仿宋" w:cs="仿宋"/>
          <w:b w:val="0"/>
          <w:bCs/>
          <w:color w:val="auto"/>
          <w:sz w:val="21"/>
          <w:szCs w:val="21"/>
          <w:lang w:val="en-US" w:eastAsia="zh-CN"/>
        </w:rPr>
        <w:t>出具的</w:t>
      </w:r>
      <w:r>
        <w:rPr>
          <w:rStyle w:val="15"/>
          <w:rFonts w:hint="eastAsia" w:ascii="仿宋" w:hAnsi="仿宋" w:eastAsia="仿宋" w:cs="仿宋"/>
          <w:b w:val="0"/>
          <w:bCs/>
          <w:color w:val="auto"/>
          <w:sz w:val="21"/>
          <w:szCs w:val="21"/>
        </w:rPr>
        <w:t>质检报告原件扫描件</w:t>
      </w:r>
      <w:r>
        <w:rPr>
          <w:rStyle w:val="15"/>
          <w:rFonts w:hint="eastAsia" w:ascii="仿宋" w:hAnsi="仿宋" w:eastAsia="仿宋" w:cs="仿宋"/>
          <w:b w:val="0"/>
          <w:bCs/>
          <w:color w:val="auto"/>
          <w:sz w:val="21"/>
          <w:szCs w:val="21"/>
          <w:lang w:eastAsia="zh-CN"/>
        </w:rPr>
        <w:t>（政府主管部门</w:t>
      </w:r>
      <w:r>
        <w:rPr>
          <w:rFonts w:hint="eastAsia" w:ascii="仿宋" w:hAnsi="仿宋" w:eastAsia="仿宋" w:cs="仿宋"/>
          <w:b w:val="0"/>
          <w:bCs/>
          <w:color w:val="auto"/>
          <w:sz w:val="21"/>
          <w:szCs w:val="21"/>
        </w:rPr>
        <w:t>如</w:t>
      </w:r>
      <w:r>
        <w:rPr>
          <w:rFonts w:hint="eastAsia" w:ascii="仿宋" w:hAnsi="仿宋" w:eastAsia="仿宋" w:cs="仿宋"/>
          <w:b w:val="0"/>
          <w:bCs/>
          <w:color w:val="auto"/>
          <w:sz w:val="21"/>
          <w:szCs w:val="21"/>
          <w:lang w:eastAsia="zh-CN"/>
        </w:rPr>
        <w:t>国家</w:t>
      </w:r>
      <w:r>
        <w:rPr>
          <w:rStyle w:val="15"/>
          <w:rFonts w:hint="eastAsia" w:ascii="仿宋" w:hAnsi="仿宋" w:eastAsia="仿宋" w:cs="仿宋"/>
          <w:b w:val="0"/>
          <w:bCs/>
          <w:color w:val="auto"/>
          <w:sz w:val="21"/>
          <w:szCs w:val="21"/>
        </w:rPr>
        <w:t>食药监局</w:t>
      </w:r>
      <w:r>
        <w:rPr>
          <w:rStyle w:val="15"/>
          <w:rFonts w:hint="eastAsia" w:ascii="仿宋" w:hAnsi="仿宋" w:eastAsia="仿宋" w:cs="仿宋"/>
          <w:b w:val="0"/>
          <w:bCs/>
          <w:color w:val="auto"/>
          <w:sz w:val="21"/>
          <w:szCs w:val="21"/>
          <w:lang w:eastAsia="zh-CN"/>
        </w:rPr>
        <w:t>或</w:t>
      </w:r>
      <w:r>
        <w:rPr>
          <w:rStyle w:val="15"/>
          <w:rFonts w:hint="eastAsia" w:ascii="仿宋" w:hAnsi="仿宋" w:eastAsia="仿宋" w:cs="仿宋"/>
          <w:b w:val="0"/>
          <w:bCs/>
          <w:color w:val="auto"/>
          <w:sz w:val="21"/>
          <w:szCs w:val="21"/>
        </w:rPr>
        <w:t>其下属单位</w:t>
      </w:r>
      <w:r>
        <w:rPr>
          <w:rStyle w:val="15"/>
          <w:rFonts w:hint="eastAsia" w:ascii="仿宋" w:hAnsi="仿宋" w:eastAsia="仿宋" w:cs="仿宋"/>
          <w:b w:val="0"/>
          <w:bCs/>
          <w:color w:val="auto"/>
          <w:sz w:val="21"/>
          <w:szCs w:val="21"/>
          <w:lang w:eastAsia="zh-CN"/>
        </w:rPr>
        <w:t>或省级医疗器械检验机构或省级食品药品检验机构等）。</w:t>
      </w:r>
    </w:p>
    <w:p>
      <w:pPr>
        <w:keepNext w:val="0"/>
        <w:keepLines w:val="0"/>
        <w:pageBreakBefore w:val="0"/>
        <w:widowControl w:val="0"/>
        <w:kinsoku/>
        <w:wordWrap/>
        <w:overflowPunct/>
        <w:topLinePunct w:val="0"/>
        <w:autoSpaceDE/>
        <w:autoSpaceDN/>
        <w:bidi w:val="0"/>
        <w:adjustRightInd/>
        <w:snapToGrid/>
        <w:spacing w:line="300" w:lineRule="exact"/>
        <w:ind w:firstLine="420" w:firstLineChars="200"/>
        <w:textAlignment w:val="auto"/>
        <w:rPr>
          <w:rFonts w:hint="eastAsia" w:ascii="仿宋" w:hAnsi="仿宋" w:eastAsia="仿宋"/>
          <w:b w:val="0"/>
          <w:bCs/>
          <w:szCs w:val="21"/>
          <w:lang w:val="en-US" w:eastAsia="zh-CN"/>
        </w:rPr>
      </w:pPr>
      <w:r>
        <w:rPr>
          <w:rFonts w:hint="eastAsia" w:ascii="仿宋" w:hAnsi="仿宋" w:eastAsia="仿宋"/>
          <w:b w:val="0"/>
          <w:bCs/>
          <w:szCs w:val="21"/>
          <w:lang w:eastAsia="zh-CN"/>
        </w:rPr>
        <w:t>附件：表</w:t>
      </w:r>
      <w:r>
        <w:rPr>
          <w:rFonts w:hint="eastAsia" w:ascii="仿宋" w:hAnsi="仿宋" w:eastAsia="仿宋"/>
          <w:b w:val="0"/>
          <w:bCs/>
          <w:szCs w:val="21"/>
          <w:lang w:val="en-US" w:eastAsia="zh-CN"/>
        </w:rPr>
        <w:t>1-4</w:t>
      </w:r>
    </w:p>
    <w:p>
      <w:pPr>
        <w:spacing w:line="320" w:lineRule="exact"/>
        <w:rPr>
          <w:rFonts w:hint="eastAsia" w:ascii="仿宋" w:hAnsi="仿宋" w:eastAsia="仿宋"/>
          <w:b/>
          <w:szCs w:val="21"/>
        </w:rPr>
      </w:pPr>
      <w:r>
        <w:rPr>
          <w:rFonts w:hint="eastAsia" w:ascii="仿宋" w:hAnsi="仿宋" w:eastAsia="仿宋"/>
          <w:b/>
          <w:szCs w:val="21"/>
          <w:lang w:val="en-US" w:eastAsia="zh-CN"/>
        </w:rPr>
        <w:t>附件</w:t>
      </w:r>
      <w:r>
        <w:rPr>
          <w:rFonts w:hint="eastAsia" w:ascii="仿宋" w:hAnsi="仿宋" w:eastAsia="仿宋"/>
          <w:b/>
          <w:szCs w:val="21"/>
        </w:rPr>
        <w:t>：拟购项目初步参数结构</w:t>
      </w:r>
    </w:p>
    <w:p>
      <w:pPr>
        <w:pStyle w:val="3"/>
        <w:widowControl/>
        <w:jc w:val="left"/>
        <w:outlineLvl w:val="0"/>
      </w:pPr>
      <w:r>
        <w:rPr>
          <w:rFonts w:hint="eastAsia" w:ascii="宋体" w:hAnsi="宋体" w:cs="宋体"/>
          <w:b/>
          <w:color w:val="000000"/>
          <w:sz w:val="24"/>
        </w:rPr>
        <w:t xml:space="preserve">1、病历质量控制系统 </w:t>
      </w:r>
    </w:p>
    <w:tbl>
      <w:tblPr>
        <w:tblStyle w:val="7"/>
        <w:tblW w:w="98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5"/>
        <w:gridCol w:w="1063"/>
        <w:gridCol w:w="4525"/>
        <w:gridCol w:w="787"/>
        <w:gridCol w:w="863"/>
        <w:gridCol w:w="1037"/>
        <w:gridCol w:w="10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920" w:type="dxa"/>
            <w:gridSpan w:val="4"/>
            <w:tcBorders>
              <w:top w:val="single" w:color="auto" w:sz="4" w:space="0"/>
              <w:left w:val="single" w:color="auto" w:sz="4" w:space="0"/>
              <w:bottom w:val="single" w:color="auto" w:sz="4" w:space="0"/>
              <w:right w:val="single" w:color="auto" w:sz="4" w:space="0"/>
            </w:tcBorders>
            <w:noWrap w:val="0"/>
            <w:vAlign w:val="center"/>
          </w:tcPr>
          <w:p>
            <w:pPr>
              <w:pStyle w:val="16"/>
              <w:widowControl/>
              <w:kinsoku w:val="0"/>
              <w:overflowPunct w:val="0"/>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本项目初步参数拟设置情况</w:t>
            </w:r>
          </w:p>
        </w:tc>
        <w:tc>
          <w:tcPr>
            <w:tcW w:w="863" w:type="dxa"/>
            <w:vMerge w:val="restart"/>
            <w:tcBorders>
              <w:top w:val="single" w:color="auto" w:sz="4" w:space="0"/>
              <w:left w:val="single" w:color="auto" w:sz="4" w:space="0"/>
              <w:right w:val="single" w:color="auto" w:sz="4" w:space="0"/>
            </w:tcBorders>
            <w:noWrap w:val="0"/>
            <w:vAlign w:val="center"/>
          </w:tcPr>
          <w:p>
            <w:pPr>
              <w:pStyle w:val="16"/>
              <w:widowControl/>
              <w:kinsoku w:val="0"/>
              <w:overflowPunct w:val="0"/>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响应情况</w:t>
            </w:r>
          </w:p>
        </w:tc>
        <w:tc>
          <w:tcPr>
            <w:tcW w:w="1037" w:type="dxa"/>
            <w:vMerge w:val="restart"/>
            <w:tcBorders>
              <w:top w:val="single" w:color="auto" w:sz="4" w:space="0"/>
              <w:left w:val="single" w:color="auto" w:sz="4" w:space="0"/>
              <w:right w:val="single" w:color="auto" w:sz="4" w:space="0"/>
            </w:tcBorders>
            <w:noWrap w:val="0"/>
            <w:vAlign w:val="center"/>
          </w:tcPr>
          <w:p>
            <w:pPr>
              <w:pStyle w:val="16"/>
              <w:widowControl/>
              <w:kinsoku w:val="0"/>
              <w:overflowPunct w:val="0"/>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建议修改指标</w:t>
            </w:r>
          </w:p>
        </w:tc>
        <w:tc>
          <w:tcPr>
            <w:tcW w:w="1032" w:type="dxa"/>
            <w:vMerge w:val="restart"/>
            <w:tcBorders>
              <w:top w:val="single" w:color="auto" w:sz="4" w:space="0"/>
              <w:left w:val="single" w:color="auto" w:sz="4" w:space="0"/>
              <w:right w:val="single" w:color="auto" w:sz="4" w:space="0"/>
            </w:tcBorders>
            <w:noWrap w:val="0"/>
            <w:vAlign w:val="top"/>
          </w:tcPr>
          <w:p>
            <w:pPr>
              <w:pStyle w:val="16"/>
              <w:widowControl/>
              <w:kinsoku w:val="0"/>
              <w:overflowPunct w:val="0"/>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备注（真实指标、是否独家、是否提供有效检测报告）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5" w:type="dxa"/>
            <w:tcBorders>
              <w:top w:val="single" w:color="auto" w:sz="4" w:space="0"/>
              <w:left w:val="single" w:color="auto" w:sz="4" w:space="0"/>
              <w:bottom w:val="single" w:color="auto" w:sz="4" w:space="0"/>
              <w:right w:val="single" w:color="auto" w:sz="4" w:space="0"/>
            </w:tcBorders>
            <w:noWrap w:val="0"/>
            <w:vAlign w:val="center"/>
          </w:tcPr>
          <w:p>
            <w:pPr>
              <w:pStyle w:val="16"/>
              <w:widowControl/>
              <w:kinsoku w:val="0"/>
              <w:overflowPunct w:val="0"/>
              <w:spacing w:line="400" w:lineRule="exac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系统名称</w:t>
            </w:r>
          </w:p>
        </w:tc>
        <w:tc>
          <w:tcPr>
            <w:tcW w:w="1063" w:type="dxa"/>
            <w:tcBorders>
              <w:top w:val="single" w:color="auto" w:sz="4" w:space="0"/>
              <w:left w:val="single" w:color="auto" w:sz="4" w:space="0"/>
              <w:bottom w:val="single" w:color="auto" w:sz="4" w:space="0"/>
              <w:right w:val="single" w:color="auto" w:sz="4" w:space="0"/>
            </w:tcBorders>
            <w:noWrap w:val="0"/>
            <w:vAlign w:val="center"/>
          </w:tcPr>
          <w:p>
            <w:pPr>
              <w:pStyle w:val="16"/>
              <w:widowControl/>
              <w:kinsoku w:val="0"/>
              <w:overflowPunct w:val="0"/>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系统功能</w:t>
            </w:r>
          </w:p>
        </w:tc>
        <w:tc>
          <w:tcPr>
            <w:tcW w:w="4525" w:type="dxa"/>
            <w:tcBorders>
              <w:top w:val="single" w:color="auto" w:sz="4" w:space="0"/>
              <w:left w:val="single" w:color="auto" w:sz="4" w:space="0"/>
              <w:bottom w:val="single" w:color="auto" w:sz="4" w:space="0"/>
              <w:right w:val="single" w:color="auto" w:sz="4" w:space="0"/>
            </w:tcBorders>
            <w:noWrap w:val="0"/>
            <w:vAlign w:val="top"/>
          </w:tcPr>
          <w:p>
            <w:pPr>
              <w:pStyle w:val="16"/>
              <w:widowControl/>
              <w:kinsoku w:val="0"/>
              <w:overflowPunct w:val="0"/>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初步参数设置情况</w:t>
            </w:r>
          </w:p>
        </w:tc>
        <w:tc>
          <w:tcPr>
            <w:tcW w:w="787" w:type="dxa"/>
            <w:tcBorders>
              <w:top w:val="single" w:color="auto" w:sz="4" w:space="0"/>
              <w:left w:val="single" w:color="auto" w:sz="4" w:space="0"/>
              <w:bottom w:val="single" w:color="auto" w:sz="4" w:space="0"/>
              <w:right w:val="single" w:color="auto" w:sz="4" w:space="0"/>
            </w:tcBorders>
            <w:noWrap w:val="0"/>
            <w:vAlign w:val="top"/>
          </w:tcPr>
          <w:p>
            <w:pPr>
              <w:pStyle w:val="16"/>
              <w:widowControl/>
              <w:kinsoku w:val="0"/>
              <w:overflowPunct w:val="0"/>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是否设置为为★</w:t>
            </w:r>
          </w:p>
        </w:tc>
        <w:tc>
          <w:tcPr>
            <w:tcW w:w="863" w:type="dxa"/>
            <w:vMerge w:val="continue"/>
            <w:tcBorders>
              <w:left w:val="single" w:color="auto" w:sz="4" w:space="0"/>
              <w:bottom w:val="single" w:color="auto" w:sz="4" w:space="0"/>
              <w:right w:val="single" w:color="auto" w:sz="4" w:space="0"/>
            </w:tcBorders>
            <w:noWrap w:val="0"/>
            <w:vAlign w:val="center"/>
          </w:tcPr>
          <w:p>
            <w:pPr>
              <w:pStyle w:val="16"/>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7" w:type="dxa"/>
            <w:vMerge w:val="continue"/>
            <w:tcBorders>
              <w:left w:val="single" w:color="auto" w:sz="4" w:space="0"/>
              <w:bottom w:val="single" w:color="auto" w:sz="4" w:space="0"/>
              <w:right w:val="single" w:color="auto" w:sz="4" w:space="0"/>
            </w:tcBorders>
            <w:noWrap w:val="0"/>
            <w:vAlign w:val="center"/>
          </w:tcPr>
          <w:p>
            <w:pPr>
              <w:pStyle w:val="16"/>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2" w:type="dxa"/>
            <w:vMerge w:val="continue"/>
            <w:tcBorders>
              <w:left w:val="single" w:color="auto" w:sz="4" w:space="0"/>
              <w:bottom w:val="single" w:color="auto" w:sz="4" w:space="0"/>
              <w:right w:val="single" w:color="auto" w:sz="4" w:space="0"/>
            </w:tcBorders>
            <w:noWrap w:val="0"/>
            <w:vAlign w:val="top"/>
          </w:tcPr>
          <w:p>
            <w:pPr>
              <w:pStyle w:val="16"/>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5" w:type="dxa"/>
            <w:vMerge w:val="restart"/>
            <w:tcBorders>
              <w:top w:val="single" w:color="auto" w:sz="4" w:space="0"/>
              <w:left w:val="single" w:color="auto" w:sz="4" w:space="0"/>
              <w:bottom w:val="single" w:color="auto" w:sz="4" w:space="0"/>
              <w:right w:val="single" w:color="auto" w:sz="4" w:space="0"/>
            </w:tcBorders>
            <w:noWrap w:val="0"/>
            <w:vAlign w:val="center"/>
          </w:tcPr>
          <w:p>
            <w:pPr>
              <w:pStyle w:val="16"/>
              <w:widowControl/>
              <w:kinsoku w:val="0"/>
              <w:overflowPunct w:val="0"/>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医生端功能</w:t>
            </w:r>
          </w:p>
        </w:tc>
        <w:tc>
          <w:tcPr>
            <w:tcW w:w="1063" w:type="dxa"/>
            <w:tcBorders>
              <w:top w:val="single" w:color="auto" w:sz="4" w:space="0"/>
              <w:left w:val="single" w:color="auto" w:sz="4" w:space="0"/>
              <w:bottom w:val="single" w:color="auto" w:sz="4" w:space="0"/>
              <w:right w:val="single" w:color="auto" w:sz="4" w:space="0"/>
            </w:tcBorders>
            <w:noWrap w:val="0"/>
            <w:vAlign w:val="center"/>
          </w:tcPr>
          <w:p>
            <w:pPr>
              <w:pStyle w:val="16"/>
              <w:widowControl/>
              <w:kinsoku w:val="0"/>
              <w:overflowPunct w:val="0"/>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实时提醒</w:t>
            </w:r>
          </w:p>
        </w:tc>
        <w:tc>
          <w:tcPr>
            <w:tcW w:w="4525"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当医生在电子病历系统编辑病历点击保存，即刻以插件形式提供实时质控提醒。无需进入单独的病历质控程序就可查看实时质控内容。</w:t>
            </w:r>
          </w:p>
        </w:tc>
        <w:tc>
          <w:tcPr>
            <w:tcW w:w="787"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c>
          <w:tcPr>
            <w:tcW w:w="863"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c>
          <w:tcPr>
            <w:tcW w:w="1032"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1063" w:type="dxa"/>
            <w:tcBorders>
              <w:top w:val="single" w:color="auto" w:sz="4" w:space="0"/>
              <w:left w:val="single" w:color="auto" w:sz="4" w:space="0"/>
              <w:bottom w:val="single" w:color="auto" w:sz="4" w:space="0"/>
              <w:right w:val="single" w:color="auto" w:sz="4" w:space="0"/>
            </w:tcBorders>
            <w:noWrap w:val="0"/>
            <w:vAlign w:val="center"/>
          </w:tcPr>
          <w:p>
            <w:pPr>
              <w:pStyle w:val="16"/>
              <w:widowControl/>
              <w:kinsoku w:val="0"/>
              <w:overflowPunct w:val="0"/>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小图标提醒</w:t>
            </w:r>
          </w:p>
        </w:tc>
        <w:tc>
          <w:tcPr>
            <w:tcW w:w="4525"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实时展示病历问题数，点击小图标可以打开浮窗查看更详细的质控结果信息。</w:t>
            </w:r>
          </w:p>
        </w:tc>
        <w:tc>
          <w:tcPr>
            <w:tcW w:w="787"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c>
          <w:tcPr>
            <w:tcW w:w="863"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c>
          <w:tcPr>
            <w:tcW w:w="1032"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1063" w:type="dxa"/>
            <w:tcBorders>
              <w:top w:val="single" w:color="auto" w:sz="4" w:space="0"/>
              <w:left w:val="single" w:color="auto" w:sz="4" w:space="0"/>
              <w:bottom w:val="single" w:color="auto" w:sz="4" w:space="0"/>
              <w:right w:val="single" w:color="auto" w:sz="4" w:space="0"/>
            </w:tcBorders>
            <w:noWrap w:val="0"/>
            <w:vAlign w:val="center"/>
          </w:tcPr>
          <w:p>
            <w:pPr>
              <w:pStyle w:val="16"/>
              <w:widowControl/>
              <w:kinsoku w:val="0"/>
              <w:overflowPunct w:val="0"/>
              <w:spacing w:line="400" w:lineRule="exac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浮窗提醒</w:t>
            </w:r>
          </w:p>
        </w:tc>
        <w:tc>
          <w:tcPr>
            <w:tcW w:w="4525"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1、可以根据配置的评分表展示病历分数与等级</w:t>
            </w:r>
          </w:p>
          <w:p>
            <w:pPr>
              <w:widowControl/>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2、展示问题汇总数量；并分类展示各个文书的问题数量，包含：入院记录；首次病程记录；病程记录；谈话记录；手术管理；出院记录等模块</w:t>
            </w:r>
          </w:p>
          <w:p>
            <w:pPr>
              <w:widowControl/>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3、可展示登录医生的待反馈病例数量及待反馈问题总数；点击可展开质控明细</w:t>
            </w:r>
          </w:p>
        </w:tc>
        <w:tc>
          <w:tcPr>
            <w:tcW w:w="787"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c>
          <w:tcPr>
            <w:tcW w:w="863"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c>
          <w:tcPr>
            <w:tcW w:w="1032"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1063" w:type="dxa"/>
            <w:tcBorders>
              <w:top w:val="single" w:color="auto" w:sz="4" w:space="0"/>
              <w:left w:val="single" w:color="auto" w:sz="4" w:space="0"/>
              <w:bottom w:val="single" w:color="auto" w:sz="4" w:space="0"/>
              <w:right w:val="single" w:color="auto" w:sz="4" w:space="0"/>
            </w:tcBorders>
            <w:noWrap w:val="0"/>
            <w:vAlign w:val="center"/>
          </w:tcPr>
          <w:p>
            <w:pPr>
              <w:pStyle w:val="16"/>
              <w:widowControl/>
              <w:kinsoku w:val="0"/>
              <w:overflowPunct w:val="0"/>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质控明细</w:t>
            </w:r>
          </w:p>
        </w:tc>
        <w:tc>
          <w:tcPr>
            <w:tcW w:w="4525" w:type="dxa"/>
            <w:tcBorders>
              <w:top w:val="single" w:color="auto" w:sz="4" w:space="0"/>
              <w:left w:val="single" w:color="auto" w:sz="4" w:space="0"/>
              <w:bottom w:val="single" w:color="auto" w:sz="4" w:space="0"/>
              <w:right w:val="single" w:color="auto" w:sz="4" w:space="0"/>
            </w:tcBorders>
            <w:noWrap w:val="0"/>
            <w:vAlign w:val="center"/>
          </w:tcPr>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1、评分表</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可根据登录his的医生账号来判定是否具有审核权限；</w:t>
            </w:r>
          </w:p>
          <w:p>
            <w:pPr>
              <w:pStyle w:val="3"/>
              <w:widowControl/>
              <w:numPr>
                <w:ilvl w:val="0"/>
                <w:numId w:val="2"/>
              </w:numP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有权限：可以在提醒端进行评分表明细查看与问题审核，进行人工评分；</w:t>
            </w:r>
          </w:p>
          <w:p>
            <w:pPr>
              <w:pStyle w:val="3"/>
              <w:widowControl/>
              <w:numPr>
                <w:ilvl w:val="0"/>
                <w:numId w:val="2"/>
              </w:numP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无权限：可查看整张表的打分情况与扣分理由</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2、质控点</w:t>
            </w:r>
          </w:p>
          <w:p>
            <w:pPr>
              <w:pStyle w:val="3"/>
              <w:widowControl/>
              <w:numPr>
                <w:ilvl w:val="0"/>
                <w:numId w:val="3"/>
              </w:numP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可根据文书分类展示，可以收起与展开；</w:t>
            </w:r>
          </w:p>
          <w:p>
            <w:pPr>
              <w:pStyle w:val="3"/>
              <w:widowControl/>
              <w:numPr>
                <w:ilvl w:val="0"/>
                <w:numId w:val="3"/>
              </w:numP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展示规则名称；备注；</w:t>
            </w:r>
          </w:p>
          <w:p>
            <w:pPr>
              <w:pStyle w:val="3"/>
              <w:widowControl/>
              <w:numPr>
                <w:ilvl w:val="0"/>
                <w:numId w:val="3"/>
              </w:numP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展示规则质控类型：机器、人工；</w:t>
            </w:r>
          </w:p>
          <w:p>
            <w:pPr>
              <w:pStyle w:val="3"/>
              <w:widowControl/>
              <w:numPr>
                <w:ilvl w:val="0"/>
                <w:numId w:val="3"/>
              </w:numP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可对每一质控的系统质控情况及人工质控的批注进行反馈，反馈的问题会实时展示在审核端，审核人员可对反馈信息进行再反馈，再反馈信息实时同步至医生端；</w:t>
            </w:r>
          </w:p>
          <w:p>
            <w:pPr>
              <w:pStyle w:val="3"/>
              <w:widowControl/>
              <w:numPr>
                <w:ilvl w:val="0"/>
                <w:numId w:val="3"/>
              </w:numP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可根据不同规则等级展示不同提示图标；</w:t>
            </w:r>
          </w:p>
          <w:p>
            <w:pPr>
              <w:pStyle w:val="3"/>
              <w:widowControl/>
              <w:numPr>
                <w:ilvl w:val="0"/>
                <w:numId w:val="3"/>
              </w:numP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单项否决规则重点提示：系统能够支持对病历以及文书的单项否决进行判断并提醒，当运行病历存在单项否决缺陷时，系统应实时、主动提醒医生相关质控缺陷，并用特殊符号进行重点标注，在医生修正缺陷内容后，单项否决提示实时消失。支持医院对每条规则是否属于“单向否决缺陷”进行自主配置。</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3、待反馈问题列表</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可查看该医生所属数据权限下的患者及存在的问题列表；可根据患者信息；规则名称；患者在院出院、质控类型进行检索</w:t>
            </w:r>
          </w:p>
        </w:tc>
        <w:tc>
          <w:tcPr>
            <w:tcW w:w="787" w:type="dxa"/>
            <w:tcBorders>
              <w:top w:val="single" w:color="auto" w:sz="4" w:space="0"/>
              <w:left w:val="single" w:color="auto" w:sz="4" w:space="0"/>
              <w:bottom w:val="single" w:color="auto" w:sz="4" w:space="0"/>
              <w:right w:val="single" w:color="auto" w:sz="4" w:space="0"/>
            </w:tcBorders>
            <w:noWrap w:val="0"/>
            <w:vAlign w:val="center"/>
          </w:tcPr>
          <w:p>
            <w:pPr>
              <w:pStyle w:val="3"/>
              <w:widowControl/>
              <w:rPr>
                <w:rFonts w:hint="eastAsia" w:ascii="仿宋" w:hAnsi="仿宋" w:eastAsia="仿宋" w:cstheme="minorBidi"/>
                <w:bCs/>
                <w:kern w:val="2"/>
                <w:sz w:val="21"/>
                <w:szCs w:val="21"/>
                <w:lang w:val="en-US" w:eastAsia="zh-CN" w:bidi="ar-SA"/>
              </w:rPr>
            </w:pPr>
          </w:p>
        </w:tc>
        <w:tc>
          <w:tcPr>
            <w:tcW w:w="863" w:type="dxa"/>
            <w:tcBorders>
              <w:top w:val="single" w:color="auto" w:sz="4" w:space="0"/>
              <w:left w:val="single" w:color="auto" w:sz="4" w:space="0"/>
              <w:bottom w:val="single" w:color="auto" w:sz="4" w:space="0"/>
              <w:right w:val="single" w:color="auto" w:sz="4" w:space="0"/>
            </w:tcBorders>
            <w:noWrap w:val="0"/>
            <w:vAlign w:val="center"/>
          </w:tcPr>
          <w:p>
            <w:pPr>
              <w:pStyle w:val="3"/>
              <w:widowControl/>
              <w:rPr>
                <w:rFonts w:hint="eastAsia" w:ascii="仿宋" w:hAnsi="仿宋" w:eastAsia="仿宋" w:cstheme="minorBidi"/>
                <w:bCs/>
                <w:kern w:val="2"/>
                <w:sz w:val="21"/>
                <w:szCs w:val="21"/>
                <w:lang w:val="en-US" w:eastAsia="zh-CN" w:bidi="ar-SA"/>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pPr>
              <w:pStyle w:val="3"/>
              <w:widowControl/>
              <w:rPr>
                <w:rFonts w:hint="eastAsia" w:ascii="仿宋" w:hAnsi="仿宋" w:eastAsia="仿宋" w:cstheme="minorBidi"/>
                <w:bCs/>
                <w:kern w:val="2"/>
                <w:sz w:val="21"/>
                <w:szCs w:val="21"/>
                <w:lang w:val="en-US" w:eastAsia="zh-CN" w:bidi="ar-SA"/>
              </w:rPr>
            </w:pPr>
          </w:p>
        </w:tc>
        <w:tc>
          <w:tcPr>
            <w:tcW w:w="1032" w:type="dxa"/>
            <w:tcBorders>
              <w:top w:val="single" w:color="auto" w:sz="4" w:space="0"/>
              <w:left w:val="single" w:color="auto" w:sz="4" w:space="0"/>
              <w:bottom w:val="single" w:color="auto" w:sz="4" w:space="0"/>
              <w:right w:val="single" w:color="auto" w:sz="4" w:space="0"/>
            </w:tcBorders>
            <w:noWrap w:val="0"/>
            <w:vAlign w:val="center"/>
          </w:tcPr>
          <w:p>
            <w:pPr>
              <w:pStyle w:val="3"/>
              <w:widowControl/>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5" w:type="dxa"/>
            <w:vMerge w:val="restart"/>
            <w:tcBorders>
              <w:top w:val="single" w:color="auto" w:sz="4" w:space="0"/>
              <w:left w:val="single" w:color="auto" w:sz="4" w:space="0"/>
              <w:bottom w:val="single" w:color="auto" w:sz="4" w:space="0"/>
              <w:right w:val="single" w:color="auto" w:sz="4" w:space="0"/>
            </w:tcBorders>
            <w:noWrap w:val="0"/>
            <w:vAlign w:val="center"/>
          </w:tcPr>
          <w:p>
            <w:pPr>
              <w:pStyle w:val="16"/>
              <w:widowControl/>
              <w:kinsoku w:val="0"/>
              <w:overflowPunct w:val="0"/>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病历审核端功能</w:t>
            </w:r>
          </w:p>
        </w:tc>
        <w:tc>
          <w:tcPr>
            <w:tcW w:w="1063" w:type="dxa"/>
            <w:tcBorders>
              <w:top w:val="single" w:color="auto" w:sz="4" w:space="0"/>
              <w:left w:val="single" w:color="auto" w:sz="4" w:space="0"/>
              <w:bottom w:val="single" w:color="auto" w:sz="4" w:space="0"/>
              <w:right w:val="single" w:color="auto" w:sz="4" w:space="0"/>
            </w:tcBorders>
            <w:noWrap w:val="0"/>
            <w:vAlign w:val="center"/>
          </w:tcPr>
          <w:p>
            <w:pPr>
              <w:pStyle w:val="16"/>
              <w:widowControl/>
              <w:kinsoku w:val="0"/>
              <w:overflowPunct w:val="0"/>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病历查询</w:t>
            </w:r>
          </w:p>
        </w:tc>
        <w:tc>
          <w:tcPr>
            <w:tcW w:w="4525"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支持运行病历/终末病历：</w:t>
            </w:r>
            <w:r>
              <w:rPr>
                <w:rFonts w:hint="eastAsia" w:ascii="仿宋" w:hAnsi="仿宋" w:eastAsia="仿宋" w:cstheme="minorBidi"/>
                <w:bCs/>
                <w:kern w:val="2"/>
                <w:sz w:val="21"/>
                <w:szCs w:val="21"/>
                <w:lang w:val="en-US" w:eastAsia="zh-CN" w:bidi="ar-SA"/>
              </w:rPr>
              <w:br w:type="textWrapping"/>
            </w:r>
            <w:r>
              <w:rPr>
                <w:rFonts w:hint="eastAsia" w:ascii="仿宋" w:hAnsi="仿宋" w:eastAsia="仿宋" w:cstheme="minorBidi"/>
                <w:bCs/>
                <w:kern w:val="2"/>
                <w:sz w:val="21"/>
                <w:szCs w:val="21"/>
                <w:lang w:val="en-US" w:eastAsia="zh-CN" w:bidi="ar-SA"/>
              </w:rPr>
              <w:t>1、支持“按患者”和“按问题”两个维度查看列表；</w:t>
            </w:r>
            <w:r>
              <w:rPr>
                <w:rFonts w:hint="eastAsia" w:ascii="仿宋" w:hAnsi="仿宋" w:eastAsia="仿宋" w:cstheme="minorBidi"/>
                <w:bCs/>
                <w:kern w:val="2"/>
                <w:sz w:val="21"/>
                <w:szCs w:val="21"/>
                <w:lang w:val="en-US" w:eastAsia="zh-CN" w:bidi="ar-SA"/>
              </w:rPr>
              <w:br w:type="textWrapping"/>
            </w:r>
            <w:r>
              <w:rPr>
                <w:rFonts w:hint="eastAsia" w:ascii="仿宋" w:hAnsi="仿宋" w:eastAsia="仿宋" w:cstheme="minorBidi"/>
                <w:bCs/>
                <w:kern w:val="2"/>
                <w:sz w:val="21"/>
                <w:szCs w:val="21"/>
                <w:lang w:val="en-US" w:eastAsia="zh-CN" w:bidi="ar-SA"/>
              </w:rPr>
              <w:t>（1）按患者：</w:t>
            </w:r>
            <w:r>
              <w:rPr>
                <w:rFonts w:hint="eastAsia" w:ascii="仿宋" w:hAnsi="仿宋" w:eastAsia="仿宋" w:cstheme="minorBidi"/>
                <w:bCs/>
                <w:kern w:val="2"/>
                <w:sz w:val="21"/>
                <w:szCs w:val="21"/>
                <w:lang w:val="en-US" w:eastAsia="zh-CN" w:bidi="ar-SA"/>
              </w:rPr>
              <w:br w:type="textWrapping"/>
            </w:r>
            <w:r>
              <w:rPr>
                <w:rFonts w:hint="eastAsia" w:ascii="仿宋" w:hAnsi="仿宋" w:eastAsia="仿宋" w:cstheme="minorBidi"/>
                <w:bCs/>
                <w:kern w:val="2"/>
                <w:sz w:val="21"/>
                <w:szCs w:val="21"/>
                <w:lang w:val="en-US" w:eastAsia="zh-CN" w:bidi="ar-SA"/>
              </w:rPr>
              <w:t>支持按日期、科室、问题类型、规则名称、质控医生、患者信息、病历得分（最小值 至 最大值）、病区、主治医生、主任医生、住院医生、医疗组条件检索，展示在院运行病历患者列表；支持对病历列表的标题展示列进行以下项目的选择：质控医生、病历得分、问题数量、质控状态、病区、医疗组、主治医生、主任医生、住院医生等。</w:t>
            </w:r>
            <w:r>
              <w:rPr>
                <w:rFonts w:hint="eastAsia" w:ascii="仿宋" w:hAnsi="仿宋" w:eastAsia="仿宋" w:cstheme="minorBidi"/>
                <w:bCs/>
                <w:kern w:val="2"/>
                <w:sz w:val="21"/>
                <w:szCs w:val="21"/>
                <w:lang w:val="en-US" w:eastAsia="zh-CN" w:bidi="ar-SA"/>
              </w:rPr>
              <w:br w:type="textWrapping"/>
            </w:r>
            <w:r>
              <w:rPr>
                <w:rFonts w:hint="eastAsia" w:ascii="仿宋" w:hAnsi="仿宋" w:eastAsia="仿宋" w:cstheme="minorBidi"/>
                <w:bCs/>
                <w:kern w:val="2"/>
                <w:sz w:val="21"/>
                <w:szCs w:val="21"/>
                <w:lang w:val="en-US" w:eastAsia="zh-CN" w:bidi="ar-SA"/>
              </w:rPr>
              <w:t>（2）按问题：</w:t>
            </w:r>
            <w:r>
              <w:rPr>
                <w:rFonts w:hint="eastAsia" w:ascii="仿宋" w:hAnsi="仿宋" w:eastAsia="仿宋" w:cstheme="minorBidi"/>
                <w:bCs/>
                <w:kern w:val="2"/>
                <w:sz w:val="21"/>
                <w:szCs w:val="21"/>
                <w:lang w:val="en-US" w:eastAsia="zh-CN" w:bidi="ar-SA"/>
              </w:rPr>
              <w:br w:type="textWrapping"/>
            </w:r>
            <w:r>
              <w:rPr>
                <w:rFonts w:hint="eastAsia" w:ascii="仿宋" w:hAnsi="仿宋" w:eastAsia="仿宋" w:cstheme="minorBidi"/>
                <w:bCs/>
                <w:kern w:val="2"/>
                <w:sz w:val="21"/>
                <w:szCs w:val="21"/>
                <w:lang w:val="en-US" w:eastAsia="zh-CN" w:bidi="ar-SA"/>
              </w:rPr>
              <w:t>支持按日期、科室、问题类型、规则名称、质控医生、患者信息、病历得分（最小值至最大值）、质控类型（全部/机器/人工）、医生反馈状态、病区、主治医生、主任医生、住院医生、医疗组等条件多维度检索，展示在院运行病历患者列表；</w:t>
            </w:r>
          </w:p>
          <w:p>
            <w:pPr>
              <w:widowControl/>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支持对病历列表的展示列进行以下项目的选择：质控医生、质控状态、规则名称、详细说明、扣分、质控类型、病区、医疗组、主治医生、主任医生、住院医生等。</w:t>
            </w:r>
          </w:p>
          <w:p>
            <w:pPr>
              <w:widowControl/>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2、支持病历查看：</w:t>
            </w:r>
          </w:p>
          <w:p>
            <w:pPr>
              <w:widowControl/>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 支持“全部”、“待审核”、“已审核”快速分类病历；</w:t>
            </w:r>
          </w:p>
          <w:p>
            <w:pPr>
              <w:widowControl/>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（2） 支持对患者列表病历进行下钻，可查看 患者“文书列表”、“评分表”结果与“质控闭环”；</w:t>
            </w:r>
            <w:r>
              <w:rPr>
                <w:rFonts w:hint="eastAsia" w:ascii="仿宋" w:hAnsi="仿宋" w:eastAsia="仿宋" w:cstheme="minorBidi"/>
                <w:bCs/>
                <w:kern w:val="2"/>
                <w:sz w:val="21"/>
                <w:szCs w:val="21"/>
                <w:lang w:val="en-US" w:eastAsia="zh-CN" w:bidi="ar-SA"/>
              </w:rPr>
              <w:br w:type="textWrapping"/>
            </w:r>
            <w:r>
              <w:rPr>
                <w:rFonts w:hint="eastAsia" w:ascii="仿宋" w:hAnsi="仿宋" w:eastAsia="仿宋" w:cstheme="minorBidi"/>
                <w:bCs/>
                <w:kern w:val="2"/>
                <w:sz w:val="21"/>
                <w:szCs w:val="21"/>
                <w:lang w:val="en-US" w:eastAsia="zh-CN" w:bidi="ar-SA"/>
              </w:rPr>
              <w:t>（3）文书列表包括不仅限于：病案首页、入院记录、病程记录、手术记录、出院/死亡记录、谈话记录、医嘱单、检验报告、检查报告、生命体征、病理报告、诊断记录。</w:t>
            </w:r>
            <w:r>
              <w:rPr>
                <w:rFonts w:hint="eastAsia" w:ascii="仿宋" w:hAnsi="仿宋" w:eastAsia="仿宋" w:cstheme="minorBidi"/>
                <w:bCs/>
                <w:kern w:val="2"/>
                <w:sz w:val="21"/>
                <w:szCs w:val="21"/>
                <w:lang w:val="en-US" w:eastAsia="zh-CN" w:bidi="ar-SA"/>
              </w:rPr>
              <w:br w:type="textWrapping"/>
            </w:r>
            <w:r>
              <w:rPr>
                <w:rFonts w:hint="eastAsia" w:ascii="仿宋" w:hAnsi="仿宋" w:eastAsia="仿宋" w:cstheme="minorBidi"/>
                <w:bCs/>
                <w:kern w:val="2"/>
                <w:sz w:val="21"/>
                <w:szCs w:val="21"/>
                <w:lang w:val="en-US" w:eastAsia="zh-CN" w:bidi="ar-SA"/>
              </w:rPr>
              <w:t>（4）支持查看患者病历原文与系统审核结果，缺陷原文可以高亮并划线对应到质控规则。质控规则可以进行人工审核并备注反馈意见通知到临床端，可以批量进行整本病历的系统质控结果提交。对于系统未发现的问题，可人工添加问题，并与规则库中的规则进行关联，可对添加问题进行备注说明。</w:t>
            </w:r>
            <w:r>
              <w:rPr>
                <w:rFonts w:hint="eastAsia" w:ascii="仿宋" w:hAnsi="仿宋" w:eastAsia="仿宋" w:cstheme="minorBidi"/>
                <w:bCs/>
                <w:kern w:val="2"/>
                <w:sz w:val="21"/>
                <w:szCs w:val="21"/>
                <w:lang w:val="en-US" w:eastAsia="zh-CN" w:bidi="ar-SA"/>
              </w:rPr>
              <w:br w:type="textWrapping"/>
            </w:r>
            <w:r>
              <w:rPr>
                <w:rFonts w:hint="eastAsia" w:ascii="仿宋" w:hAnsi="仿宋" w:eastAsia="仿宋" w:cstheme="minorBidi"/>
                <w:bCs/>
                <w:kern w:val="2"/>
                <w:sz w:val="21"/>
                <w:szCs w:val="21"/>
                <w:lang w:val="en-US" w:eastAsia="zh-CN" w:bidi="ar-SA"/>
              </w:rPr>
              <w:t>（5）可基于医院运行/归档病历评分表内容，进行评分表展现。评分表包含：评分项目、评分标准、评分方法、扣分结果、扣分理由；可展示每位患者的分数，能查看每个患者的具体评分明细，并根据评分项目导航快速定位不同评分项目；扣分项目会进行标红处理，可以查看具体扣分点与扣分理由；人工可以修改系统评分结果，并添加备注通知到临床修改病历。</w:t>
            </w:r>
            <w:r>
              <w:rPr>
                <w:rFonts w:hint="eastAsia" w:ascii="仿宋" w:hAnsi="仿宋" w:eastAsia="仿宋" w:cstheme="minorBidi"/>
                <w:bCs/>
                <w:kern w:val="2"/>
                <w:sz w:val="21"/>
                <w:szCs w:val="21"/>
                <w:lang w:val="en-US" w:eastAsia="zh-CN" w:bidi="ar-SA"/>
              </w:rPr>
              <w:br w:type="textWrapping"/>
            </w:r>
            <w:r>
              <w:rPr>
                <w:rFonts w:hint="eastAsia" w:ascii="仿宋" w:hAnsi="仿宋" w:eastAsia="仿宋" w:cstheme="minorBidi"/>
                <w:bCs/>
                <w:kern w:val="2"/>
                <w:sz w:val="21"/>
                <w:szCs w:val="21"/>
                <w:lang w:val="en-US" w:eastAsia="zh-CN" w:bidi="ar-SA"/>
              </w:rPr>
              <w:t>（6）可以查看每个缺陷项目机器/人工质控时间，对是否进行修改与反馈，人工是否进行质控和确认均可进行留痕查看，并对整本病历的质控提交与审核等各个节点有时间轴记录时间轴。</w:t>
            </w:r>
          </w:p>
        </w:tc>
        <w:tc>
          <w:tcPr>
            <w:tcW w:w="78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仿宋" w:hAnsi="仿宋" w:eastAsia="仿宋" w:cstheme="minorBidi"/>
                <w:bCs/>
                <w:kern w:val="2"/>
                <w:sz w:val="21"/>
                <w:szCs w:val="21"/>
                <w:lang w:val="en-US" w:eastAsia="zh-CN" w:bidi="ar-SA"/>
              </w:rPr>
            </w:pPr>
          </w:p>
        </w:tc>
        <w:tc>
          <w:tcPr>
            <w:tcW w:w="86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仿宋" w:hAnsi="仿宋" w:eastAsia="仿宋" w:cstheme="minorBidi"/>
                <w:bCs/>
                <w:kern w:val="2"/>
                <w:sz w:val="21"/>
                <w:szCs w:val="21"/>
                <w:lang w:val="en-US" w:eastAsia="zh-CN" w:bidi="ar-SA"/>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仿宋" w:hAnsi="仿宋" w:eastAsia="仿宋" w:cstheme="minorBidi"/>
                <w:bCs/>
                <w:kern w:val="2"/>
                <w:sz w:val="21"/>
                <w:szCs w:val="21"/>
                <w:lang w:val="en-US" w:eastAsia="zh-CN" w:bidi="ar-SA"/>
              </w:rPr>
            </w:pPr>
          </w:p>
        </w:tc>
        <w:tc>
          <w:tcPr>
            <w:tcW w:w="1032"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1063" w:type="dxa"/>
            <w:vMerge w:val="restart"/>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评价管理</w:t>
            </w:r>
          </w:p>
        </w:tc>
        <w:tc>
          <w:tcPr>
            <w:tcW w:w="4525"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质控任务创建：</w:t>
            </w:r>
          </w:p>
          <w:p>
            <w:pPr>
              <w:widowControl/>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系统能够支持质控管理人员定期创建质控任务项目，并制定任务负责人和期望完成时间。</w:t>
            </w:r>
          </w:p>
        </w:tc>
        <w:tc>
          <w:tcPr>
            <w:tcW w:w="787"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c>
          <w:tcPr>
            <w:tcW w:w="863"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c>
          <w:tcPr>
            <w:tcW w:w="1032"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1063"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4525"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筛选质控病历：</w:t>
            </w:r>
          </w:p>
          <w:p>
            <w:pPr>
              <w:widowControl/>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支持通过多维度快速搜索病历添加到质控项目中，支持对搜索的病历进行批量、随机筛选。筛选的维度至少包括：死亡、自动出院、输血、疑难危重、不良事件上报、医患纠纷、非计划再次手术、住院超过30天、新技术新项目及四级手术患者、中医汤剂医嘱；</w:t>
            </w:r>
          </w:p>
        </w:tc>
        <w:tc>
          <w:tcPr>
            <w:tcW w:w="787"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c>
          <w:tcPr>
            <w:tcW w:w="863"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c>
          <w:tcPr>
            <w:tcW w:w="1032"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1063"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4525"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查看质控项目及病历：</w:t>
            </w:r>
          </w:p>
          <w:p>
            <w:pPr>
              <w:widowControl/>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质控管理人员可随时查看病历审核任务的进度，并支持查看对应病历的质控详情。</w:t>
            </w:r>
          </w:p>
        </w:tc>
        <w:tc>
          <w:tcPr>
            <w:tcW w:w="787"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c>
          <w:tcPr>
            <w:tcW w:w="863"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c>
          <w:tcPr>
            <w:tcW w:w="1032"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1063"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病历评价</w:t>
            </w:r>
          </w:p>
        </w:tc>
        <w:tc>
          <w:tcPr>
            <w:tcW w:w="4525"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质控人员登录系统，可查看到当前的质控任务，包括质控项目批次、抽取类型、评价人、进度、剩余时间（天）、开始日期、创建人、状态、操作等。并支持快速定位到自身需要质控的病历，在线进行病历审核。</w:t>
            </w:r>
          </w:p>
        </w:tc>
        <w:tc>
          <w:tcPr>
            <w:tcW w:w="787"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c>
          <w:tcPr>
            <w:tcW w:w="863"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c>
          <w:tcPr>
            <w:tcW w:w="1032"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1063" w:type="dxa"/>
            <w:vMerge w:val="restart"/>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人工审核</w:t>
            </w:r>
          </w:p>
        </w:tc>
        <w:tc>
          <w:tcPr>
            <w:tcW w:w="4525"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质控缺陷总览：</w:t>
            </w:r>
          </w:p>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在质控员选择一份病历进行人工审核时，系统应展示当前病历的所有质控缺陷，根据质控员查看的文书不同展示当前文书涉及的缺陷。点击缺陷问题，系统会自动切换到相应的文书，并定位到缺陷对应的段落或原文上。</w:t>
            </w:r>
          </w:p>
        </w:tc>
        <w:tc>
          <w:tcPr>
            <w:tcW w:w="787"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c>
          <w:tcPr>
            <w:tcW w:w="863"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c>
          <w:tcPr>
            <w:tcW w:w="1032"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1063"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4525"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人工质控与结果确认：</w:t>
            </w:r>
          </w:p>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质控人员根据系统的质控结果对病历的缺陷进行人员确认，认为此缺陷要求医生修改，可以把修改建议反馈给医生。认为此缺陷对病历质量影响不大，也可以确认通过。同时可以看到医生对缺陷建议是否修改或反馈，并对反馈结果进行确认。</w:t>
            </w:r>
          </w:p>
        </w:tc>
        <w:tc>
          <w:tcPr>
            <w:tcW w:w="787"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c>
          <w:tcPr>
            <w:tcW w:w="863"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c>
          <w:tcPr>
            <w:tcW w:w="1032"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1063"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4525"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病历评分：</w:t>
            </w:r>
          </w:p>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系统根据医院评分表的配置及规则关联，自动对病历进行评分，质控员可以进行人工评分。可以通过添加删除缺陷进行人工干预评分，也可以通过人工修改该评估项目的得分。</w:t>
            </w:r>
          </w:p>
        </w:tc>
        <w:tc>
          <w:tcPr>
            <w:tcW w:w="787"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c>
          <w:tcPr>
            <w:tcW w:w="863"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c>
          <w:tcPr>
            <w:tcW w:w="1032"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1063"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4525"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质控闭环：</w:t>
            </w:r>
          </w:p>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通过质控闭环可以清晰的看到当前病历的质控流程系统首次质控时间、人工质控时间、人工确认时间、病历提交时间以及操作人员。通过缺陷闭环可以看到某一个缺陷整个的流转过程。</w:t>
            </w:r>
          </w:p>
        </w:tc>
        <w:tc>
          <w:tcPr>
            <w:tcW w:w="787"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c>
          <w:tcPr>
            <w:tcW w:w="863"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c>
          <w:tcPr>
            <w:tcW w:w="1032"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1063"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病历快捷浏览</w:t>
            </w:r>
          </w:p>
        </w:tc>
        <w:tc>
          <w:tcPr>
            <w:tcW w:w="4525"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在质控员选择一份病历进行人工审核时，系统应展示对应的病历文书，并展示当前选中病历文书的所有缺陷详情；</w:t>
            </w:r>
          </w:p>
        </w:tc>
        <w:tc>
          <w:tcPr>
            <w:tcW w:w="787"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c>
          <w:tcPr>
            <w:tcW w:w="863"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c>
          <w:tcPr>
            <w:tcW w:w="1032"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1063"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缺陷自动定位</w:t>
            </w:r>
          </w:p>
        </w:tc>
        <w:tc>
          <w:tcPr>
            <w:tcW w:w="4525"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当质控员在查看缺陷条目时，点击缺陷条目后，系统支持自动跳转至该缺陷对应的病历文书原文位置，并高亮显示；</w:t>
            </w:r>
          </w:p>
        </w:tc>
        <w:tc>
          <w:tcPr>
            <w:tcW w:w="787"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c>
          <w:tcPr>
            <w:tcW w:w="863"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c>
          <w:tcPr>
            <w:tcW w:w="1032"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1063"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审核意见反馈交互</w:t>
            </w:r>
          </w:p>
        </w:tc>
        <w:tc>
          <w:tcPr>
            <w:tcW w:w="4525"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1、临床端反馈：书写病历时，支持医生对AI质控的病历问题在线进行问题反馈；</w:t>
            </w:r>
          </w:p>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2、质控员审核：支持质控员对每个质控问题的反馈情况进行查看，可再次对修改不正确的缺陷进行再次反馈并填写修改建议。</w:t>
            </w:r>
          </w:p>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3、临床端查看：临床端医生可对质控人员要求修改的病历进行查看和修改，如果对质控结果存在异议可在线进行反馈。</w:t>
            </w:r>
          </w:p>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4、质控员确认：支持质控员按缺陷反馈情况查看病历，并对医生反馈的缺陷进行再次确认通过或再次反馈修改建议。</w:t>
            </w:r>
          </w:p>
        </w:tc>
        <w:tc>
          <w:tcPr>
            <w:tcW w:w="787"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c>
          <w:tcPr>
            <w:tcW w:w="863"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c>
          <w:tcPr>
            <w:tcW w:w="1032"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5"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 xml:space="preserve">全环节质 </w:t>
            </w:r>
          </w:p>
          <w:p>
            <w:pPr>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量管理</w:t>
            </w:r>
          </w:p>
          <w:p>
            <w:pPr>
              <w:spacing w:line="400" w:lineRule="exact"/>
              <w:jc w:val="center"/>
              <w:rPr>
                <w:rFonts w:hint="eastAsia" w:ascii="仿宋" w:hAnsi="仿宋" w:eastAsia="仿宋" w:cstheme="minorBidi"/>
                <w:bCs/>
                <w:kern w:val="2"/>
                <w:sz w:val="21"/>
                <w:szCs w:val="21"/>
                <w:lang w:val="en-US" w:eastAsia="zh-CN" w:bidi="ar-SA"/>
              </w:rPr>
            </w:pPr>
          </w:p>
        </w:tc>
        <w:tc>
          <w:tcPr>
            <w:tcW w:w="1063"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18 项核心医疗制度</w:t>
            </w:r>
          </w:p>
          <w:p>
            <w:pPr>
              <w:spacing w:line="400" w:lineRule="exact"/>
              <w:jc w:val="center"/>
              <w:rPr>
                <w:rFonts w:hint="eastAsia" w:ascii="仿宋" w:hAnsi="仿宋" w:eastAsia="仿宋" w:cstheme="minorBidi"/>
                <w:bCs/>
                <w:kern w:val="2"/>
                <w:sz w:val="21"/>
                <w:szCs w:val="21"/>
                <w:lang w:val="en-US" w:eastAsia="zh-CN" w:bidi="ar-SA"/>
              </w:rPr>
            </w:pPr>
          </w:p>
        </w:tc>
        <w:tc>
          <w:tcPr>
            <w:tcW w:w="4525"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 xml:space="preserve">根据医疗质量核心制度要点释义，对各制度进行规则定 </w:t>
            </w:r>
          </w:p>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 xml:space="preserve">义，根据规则自患者入院到出院全环节实时监控，以科 </w:t>
            </w:r>
          </w:p>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 xml:space="preserve">室维度进行数据统计，统计数据可进行溯源查看跟踪， </w:t>
            </w:r>
          </w:p>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 xml:space="preserve">且系统支持各规则调整、增加、修改。 </w:t>
            </w:r>
          </w:p>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 xml:space="preserve">（制度包含：首诊负责制、三级医师查房制度、疑难病 </w:t>
            </w:r>
          </w:p>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 xml:space="preserve">例讨论制度、死亡病历讨论制度、急危重患者抢救制度、 </w:t>
            </w:r>
          </w:p>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 xml:space="preserve">会诊制度、手术分级管理制度、术前讨论制度、分级护 </w:t>
            </w:r>
          </w:p>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 xml:space="preserve">理制度、患者知情同意书、交接班制度、病历书写规范 </w:t>
            </w:r>
          </w:p>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 xml:space="preserve">与管理制度、病历等级评定、病历环节质量控制、医疗 </w:t>
            </w:r>
          </w:p>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 xml:space="preserve">技术准入制度、抗菌药物分级管理制、围手术期管理、 </w:t>
            </w:r>
          </w:p>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输血管理、危急值管理）。</w:t>
            </w:r>
          </w:p>
        </w:tc>
        <w:tc>
          <w:tcPr>
            <w:tcW w:w="787"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c>
          <w:tcPr>
            <w:tcW w:w="863"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c>
          <w:tcPr>
            <w:tcW w:w="1032"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5" w:type="dxa"/>
            <w:vMerge w:val="restart"/>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统计与分析端功能</w:t>
            </w:r>
          </w:p>
        </w:tc>
        <w:tc>
          <w:tcPr>
            <w:tcW w:w="1063" w:type="dxa"/>
            <w:vMerge w:val="restart"/>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首页</w:t>
            </w:r>
          </w:p>
        </w:tc>
        <w:tc>
          <w:tcPr>
            <w:tcW w:w="4525"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支持按“今年、去年、本季、上季、本月、上月”快捷按钮或者“年度、季度、月份”维度自定义对全院（归档/未归档）对全院病历的质控情况进行多维度统计分析，包括病历质量分析、质控管理分析等。</w:t>
            </w:r>
          </w:p>
        </w:tc>
        <w:tc>
          <w:tcPr>
            <w:tcW w:w="787"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c>
          <w:tcPr>
            <w:tcW w:w="863"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c>
          <w:tcPr>
            <w:tcW w:w="1032"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1063"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4525"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病历质量分析：</w:t>
            </w:r>
          </w:p>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支持自动汇总病历数、问题病历数、病历平均分、平均问题数等内容及各项的同比、环比（年）情况，并支持病历数的下钻。</w:t>
            </w:r>
          </w:p>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支持以柱状图、折线图、饼图、列表等直观展示病历质量情况，包括：病历级别分布、病历质量趋势分析、科室问题病历率排名TOP 5、科室平均问题数排名TOP 5、科室病历平均分排名TOP 5、科室丙级病历率排名TOP 5 、病历问题TOP 10、及时性问题TOP 5、问题文书TOP 5、规则类型分布（内涵、形式）、问题类型分布、问题修正率、问题修正率趋势等</w:t>
            </w:r>
          </w:p>
        </w:tc>
        <w:tc>
          <w:tcPr>
            <w:tcW w:w="787"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c>
          <w:tcPr>
            <w:tcW w:w="863"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c>
          <w:tcPr>
            <w:tcW w:w="1032"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1063"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4525"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质控管理分析：</w:t>
            </w:r>
          </w:p>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支持自动汇总病历数、问题病历数、质控病历数、驳回病历数、整改病历数等内容及各项的同比、环比（年）情况，并支持详细数据的下钻。</w:t>
            </w:r>
          </w:p>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支持以图形的方式对病历的质控率占比、质控管理情况进行统计分析。</w:t>
            </w:r>
          </w:p>
        </w:tc>
        <w:tc>
          <w:tcPr>
            <w:tcW w:w="787"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c>
          <w:tcPr>
            <w:tcW w:w="863"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c>
          <w:tcPr>
            <w:tcW w:w="1032"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1063" w:type="dxa"/>
            <w:vMerge w:val="restart"/>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在院监测</w:t>
            </w:r>
          </w:p>
        </w:tc>
        <w:tc>
          <w:tcPr>
            <w:tcW w:w="4525"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支持对全院在院病例的病历质控情况进行实时监测，分别从在院病历质量、质控管理等维度进行统计分析。</w:t>
            </w:r>
          </w:p>
        </w:tc>
        <w:tc>
          <w:tcPr>
            <w:tcW w:w="787"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c>
          <w:tcPr>
            <w:tcW w:w="863"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c>
          <w:tcPr>
            <w:tcW w:w="1032"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1063"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4525"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病历质量分析：包括不仅限于在院病历数、问题病历数、问题总数、平均问题数、病历平均分、科室问题病历分布、科室平均问题数分布、科室平均分分布、在院问题占比TOP 10及时性规则完成情况（可以下钻）、问题类型分布、规则类型分布、问题文书排名TOP 5。</w:t>
            </w:r>
          </w:p>
        </w:tc>
        <w:tc>
          <w:tcPr>
            <w:tcW w:w="787"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c>
          <w:tcPr>
            <w:tcW w:w="863"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c>
          <w:tcPr>
            <w:tcW w:w="1032"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1063"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4525"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质控管理分析：包括不仅限于在院病历数、问题病历数、质控病历数、驳回病历数、整改病历数、质控率分布、驳回率分布、整改率分布。</w:t>
            </w:r>
          </w:p>
        </w:tc>
        <w:tc>
          <w:tcPr>
            <w:tcW w:w="787"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c>
          <w:tcPr>
            <w:tcW w:w="863"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c>
          <w:tcPr>
            <w:tcW w:w="1032"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1063" w:type="dxa"/>
            <w:vMerge w:val="restart"/>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统计分析</w:t>
            </w:r>
          </w:p>
        </w:tc>
        <w:tc>
          <w:tcPr>
            <w:tcW w:w="4525"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支持按年度、季度、月、自定义时间获取数据，对全院/已归档/未归档病历质控情况进行可视化、多维度展示，包括质量分析、评分表分析、质控管理分析、文书时效性监测。</w:t>
            </w:r>
          </w:p>
        </w:tc>
        <w:tc>
          <w:tcPr>
            <w:tcW w:w="787"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c>
          <w:tcPr>
            <w:tcW w:w="863"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c>
          <w:tcPr>
            <w:tcW w:w="1032"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1063"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4525"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质量分析：支持以科室、医疗组、医生为统计维度，对病历质量情况进行统计分析，包括不仅限于病历数、问题病历数、病历平均分、平均问题数、问题病历占比、平均问题数、病历平均分、病历等级等。</w:t>
            </w:r>
          </w:p>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病历问题分析：系统可查看全院各科室在任意时间段的病历质控的缺陷明细，并可查看该质控缺陷对应数量的病历详情。</w:t>
            </w:r>
          </w:p>
        </w:tc>
        <w:tc>
          <w:tcPr>
            <w:tcW w:w="787"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c>
          <w:tcPr>
            <w:tcW w:w="863"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c>
          <w:tcPr>
            <w:tcW w:w="1032"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1063"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4525"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评分表分析：支持以表格的形式，对医院各评分表的评分情况进行统计分析。分析内容包括：出院科室/医疗组名称/主治医生名称、病历数、平均分（当前值、环比值、环比比率）、问题数、平均问题数（当前值、环比值、环比比率）。评分表包括运行病历评分表、总体病历评分表。</w:t>
            </w:r>
          </w:p>
        </w:tc>
        <w:tc>
          <w:tcPr>
            <w:tcW w:w="787"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c>
          <w:tcPr>
            <w:tcW w:w="863"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c>
          <w:tcPr>
            <w:tcW w:w="1032"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1063"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4525"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质控管理分析：支持以科室、医疗组、主治医生、质控医生为统计维度，对病历质控情况进行统计分析，包括不仅限于病历数、问题病历数、质控病历数、驳回病历数、整改病历数、病历质控率、病历驳回率、病历整改率等</w:t>
            </w:r>
          </w:p>
        </w:tc>
        <w:tc>
          <w:tcPr>
            <w:tcW w:w="787"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c>
          <w:tcPr>
            <w:tcW w:w="863"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c>
          <w:tcPr>
            <w:tcW w:w="1032"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5" w:type="dxa"/>
            <w:vMerge w:val="restart"/>
            <w:tcBorders>
              <w:top w:val="single" w:color="auto" w:sz="4" w:space="0"/>
              <w:left w:val="single" w:color="auto" w:sz="4" w:space="0"/>
              <w:bottom w:val="single" w:color="auto" w:sz="4" w:space="0"/>
              <w:right w:val="single" w:color="auto" w:sz="4" w:space="0"/>
            </w:tcBorders>
            <w:noWrap w:val="0"/>
            <w:vAlign w:val="center"/>
          </w:tcPr>
          <w:p>
            <w:pPr>
              <w:pStyle w:val="16"/>
              <w:widowControl/>
              <w:kinsoku w:val="0"/>
              <w:overflowPunct w:val="0"/>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配置引擎</w:t>
            </w:r>
          </w:p>
        </w:tc>
        <w:tc>
          <w:tcPr>
            <w:tcW w:w="1063" w:type="dxa"/>
            <w:vMerge w:val="restart"/>
            <w:tcBorders>
              <w:top w:val="single" w:color="auto" w:sz="4" w:space="0"/>
              <w:left w:val="single" w:color="auto" w:sz="4" w:space="0"/>
              <w:bottom w:val="single" w:color="auto" w:sz="4" w:space="0"/>
              <w:right w:val="single" w:color="auto" w:sz="4" w:space="0"/>
            </w:tcBorders>
            <w:noWrap w:val="0"/>
            <w:vAlign w:val="center"/>
          </w:tcPr>
          <w:p>
            <w:pPr>
              <w:pStyle w:val="16"/>
              <w:widowControl/>
              <w:kinsoku w:val="0"/>
              <w:overflowPunct w:val="0"/>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评分表配置</w:t>
            </w:r>
          </w:p>
        </w:tc>
        <w:tc>
          <w:tcPr>
            <w:tcW w:w="4525" w:type="dxa"/>
            <w:tcBorders>
              <w:top w:val="single" w:color="auto" w:sz="4" w:space="0"/>
              <w:left w:val="single" w:color="auto" w:sz="4" w:space="0"/>
              <w:bottom w:val="single" w:color="auto" w:sz="4" w:space="0"/>
              <w:right w:val="single" w:color="auto" w:sz="4" w:space="0"/>
            </w:tcBorders>
            <w:noWrap w:val="0"/>
            <w:vAlign w:val="center"/>
          </w:tcPr>
          <w:p>
            <w:pPr>
              <w:numPr>
                <w:ilvl w:val="0"/>
                <w:numId w:val="4"/>
              </w:num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系统支持多版本评分表切换；</w:t>
            </w:r>
          </w:p>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2、支持对病历评分表进行自定义编辑，支持总体病历评分表、运行病历评分表的个性化配置；</w:t>
            </w:r>
          </w:p>
        </w:tc>
        <w:tc>
          <w:tcPr>
            <w:tcW w:w="787"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c>
          <w:tcPr>
            <w:tcW w:w="863"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c>
          <w:tcPr>
            <w:tcW w:w="1032"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1063"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4525"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每个评分表都可以支持医院新建或导入其他省市评分表作为模板应用。评分表可配置病历类型、项目分值、评分标准、评分方法、分值设置、扣分逻辑、单项缺陷设置及关联规则等模块。支持单项否决、单项否决乙级、单项否决丙级的配置；并能满足单项扣分与累计扣分两种扣分逻辑，可编辑评分表名称与等级设置。可以根据医院需求选择是否在提醒端展示</w:t>
            </w:r>
          </w:p>
        </w:tc>
        <w:tc>
          <w:tcPr>
            <w:tcW w:w="787"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c>
          <w:tcPr>
            <w:tcW w:w="863"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c>
          <w:tcPr>
            <w:tcW w:w="1032"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1063"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规则配置引擎</w:t>
            </w:r>
          </w:p>
        </w:tc>
        <w:tc>
          <w:tcPr>
            <w:tcW w:w="4525"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1、系统支持通过规则引擎功能维护和管理医院自己的病历质控规则库。</w:t>
            </w:r>
          </w:p>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2、医院可根据质控逻辑的需要，自行新增控制规则。</w:t>
            </w:r>
          </w:p>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3、医院可根据需要修改系统集成的质控规则的名称、质控逻辑、提醒内容，溯源逻辑、专科类型、专病类型、规则适用科室相关内容。</w:t>
            </w:r>
          </w:p>
        </w:tc>
        <w:tc>
          <w:tcPr>
            <w:tcW w:w="787"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c>
          <w:tcPr>
            <w:tcW w:w="863"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c>
          <w:tcPr>
            <w:tcW w:w="1032"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5" w:type="dxa"/>
            <w:vMerge w:val="restart"/>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权限配置</w:t>
            </w:r>
          </w:p>
        </w:tc>
        <w:tc>
          <w:tcPr>
            <w:tcW w:w="1063"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用户管理</w:t>
            </w:r>
          </w:p>
        </w:tc>
        <w:tc>
          <w:tcPr>
            <w:tcW w:w="4525"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系统应支持管理员设置不同角色权限，不同权限的角色在使用时功能模块和数据不一致。</w:t>
            </w:r>
          </w:p>
        </w:tc>
        <w:tc>
          <w:tcPr>
            <w:tcW w:w="787"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c>
          <w:tcPr>
            <w:tcW w:w="863"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c>
          <w:tcPr>
            <w:tcW w:w="1032"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1063"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功能权限</w:t>
            </w:r>
          </w:p>
        </w:tc>
        <w:tc>
          <w:tcPr>
            <w:tcW w:w="4525"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系统应支持管理员对角色的功能模块权限进行自定义配置管理。</w:t>
            </w:r>
          </w:p>
        </w:tc>
        <w:tc>
          <w:tcPr>
            <w:tcW w:w="787"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c>
          <w:tcPr>
            <w:tcW w:w="863"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c>
          <w:tcPr>
            <w:tcW w:w="1032"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1063"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数据权限</w:t>
            </w:r>
          </w:p>
        </w:tc>
        <w:tc>
          <w:tcPr>
            <w:tcW w:w="4525"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系统应支持管理员对角色数据查看权限的范围进行自定义配置管理。</w:t>
            </w:r>
          </w:p>
        </w:tc>
        <w:tc>
          <w:tcPr>
            <w:tcW w:w="787"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c>
          <w:tcPr>
            <w:tcW w:w="863"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c>
          <w:tcPr>
            <w:tcW w:w="1032"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5" w:type="dxa"/>
            <w:vMerge w:val="restart"/>
            <w:tcBorders>
              <w:top w:val="single" w:color="auto" w:sz="4" w:space="0"/>
              <w:left w:val="single" w:color="auto" w:sz="4" w:space="0"/>
              <w:bottom w:val="single" w:color="auto" w:sz="4" w:space="0"/>
              <w:right w:val="single" w:color="auto" w:sz="4" w:space="0"/>
            </w:tcBorders>
            <w:noWrap w:val="0"/>
            <w:vAlign w:val="center"/>
          </w:tcPr>
          <w:p>
            <w:pPr>
              <w:pStyle w:val="16"/>
              <w:widowControl/>
              <w:kinsoku w:val="0"/>
              <w:overflowPunct w:val="0"/>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质控规则-形式质控</w:t>
            </w:r>
          </w:p>
        </w:tc>
        <w:tc>
          <w:tcPr>
            <w:tcW w:w="1063"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质控规则覆盖</w:t>
            </w:r>
          </w:p>
        </w:tc>
        <w:tc>
          <w:tcPr>
            <w:tcW w:w="4525"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病历文书包括入院记录、首次病程记录、手术记录、会诊记录、输血记录、转科记录等。</w:t>
            </w:r>
          </w:p>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形式质控内容包括病历文书记录的完整性、合理性、一致性、时效性。</w:t>
            </w:r>
          </w:p>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（所有规则具体实现效果与国家政策变动、医院数据质量、临床工作需要相关，实现情况有所差异）</w:t>
            </w:r>
          </w:p>
        </w:tc>
        <w:tc>
          <w:tcPr>
            <w:tcW w:w="787"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c>
          <w:tcPr>
            <w:tcW w:w="863"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c>
          <w:tcPr>
            <w:tcW w:w="1032"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1063"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完整性规则</w:t>
            </w:r>
          </w:p>
        </w:tc>
        <w:tc>
          <w:tcPr>
            <w:tcW w:w="4525"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支持对病历的内容的完整情况进行质控，包括但不限于如下示例：</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(1)入院记录无专科检查</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(2)入院记录初步诊断完整性质检</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(3)入院记录婚育史年龄完整性质检</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(4)入院记录婚育史子女数量完整性质检</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(5)入院记录家族史父母情况完整性质检</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(6)入院记录家族史兄弟姐妹情况完整性质检</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(7)入院记录完整性质检</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(8)入院记录无辅助检查记录（注明外院机构名称及日期）</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(9)入院记录无体格检查</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(10)首次病程记录中无病例特点</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(11)首次病程记录中无诊断依据</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(12)首次病程记录中无鉴别诊断</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(13)首次病程记录中无诊疗计划</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(14)入院记录月经史完整性质检</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(15)手术记录麻醉方式完整性质检</w:t>
            </w:r>
          </w:p>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(16)手术记录手术经过完整性质检</w:t>
            </w:r>
          </w:p>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(17)手术记录完整性质检</w:t>
            </w:r>
          </w:p>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(18)手术前主刀医生查房记录完整性校验</w:t>
            </w:r>
          </w:p>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(19)手术知情同意书完整性质检</w:t>
            </w:r>
          </w:p>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(20)输血记录输血反应完整性质检</w:t>
            </w:r>
          </w:p>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(21)术后首次病程记录麻醉方式完整性质检</w:t>
            </w:r>
          </w:p>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(22)术后首次病程记录手术方式完整性质检</w:t>
            </w:r>
          </w:p>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(23)术后首次病程记录手术经过完整性质检</w:t>
            </w:r>
          </w:p>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(24)术后首次病程记录术后处理措施完整性质检</w:t>
            </w:r>
          </w:p>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(25)术后首次病程记录术后诊断完整性质检</w:t>
            </w:r>
          </w:p>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(26)术后首次病程记录完整性质检</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(27)术后三天内无上级医师或术者查房记录</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(28)术前讨论记录完整性质检</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(29)术前讨论手术指征完整性质检</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(30)术前小结术前诊断完整性质检</w:t>
            </w:r>
          </w:p>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(31)死亡病例讨论记录病历摘要完整性质检</w:t>
            </w:r>
          </w:p>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(32)死亡病例讨论记录死亡时间完整性质检</w:t>
            </w:r>
          </w:p>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(33)死亡病例讨论记录死亡原因完整性质检</w:t>
            </w:r>
          </w:p>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(34)死亡病例讨论记录死亡诊断完整性质检</w:t>
            </w:r>
          </w:p>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(35)死亡病例讨论记录讨论结果完整性质检</w:t>
            </w:r>
          </w:p>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(36)死亡病例讨论记录治疗及抢救经过完整性质检</w:t>
            </w:r>
          </w:p>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(37)死亡记录完整性质检</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(38)死亡记录中死亡时间不具体</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(39)疑难病例讨论记录病历摘要完整性质检</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(40)疑难病例讨论记录讨论记录完整性质检</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(41)病危病人日常病程记录填写完整性质检</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(42)出院记录完整性质检</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(43)出院记录中出院医嘱相关描述完整性质检</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(44)出院医嘱完整性质检</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(45)出院记录无主要诊疗经过的内容</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(46)会诊记录完整性质检</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(47)麻醉记录完整性质检</w:t>
            </w:r>
          </w:p>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(48)抢救记录完整性质检</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(49)危重病例无科主任或主（副主）任医师查房记录</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(50)死亡病例无抢救记录</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(51)死亡记录中未写明死亡原因</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(52)无死亡病例讨论记录</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(53)疑难病例无科主任或主（副主）任医师查房记录</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(54)输血患者是否书写输血治疗同意书等</w:t>
            </w:r>
          </w:p>
        </w:tc>
        <w:tc>
          <w:tcPr>
            <w:tcW w:w="787" w:type="dxa"/>
            <w:tcBorders>
              <w:top w:val="single" w:color="auto" w:sz="4" w:space="0"/>
              <w:left w:val="single" w:color="auto" w:sz="4" w:space="0"/>
              <w:bottom w:val="single" w:color="auto" w:sz="4" w:space="0"/>
              <w:right w:val="single" w:color="auto" w:sz="4" w:space="0"/>
            </w:tcBorders>
            <w:noWrap w:val="0"/>
            <w:vAlign w:val="center"/>
          </w:tcPr>
          <w:p>
            <w:pPr>
              <w:pStyle w:val="3"/>
              <w:widowControl/>
              <w:rPr>
                <w:rFonts w:hint="eastAsia" w:ascii="仿宋" w:hAnsi="仿宋" w:eastAsia="仿宋" w:cstheme="minorBidi"/>
                <w:bCs/>
                <w:kern w:val="2"/>
                <w:sz w:val="21"/>
                <w:szCs w:val="21"/>
                <w:lang w:val="en-US" w:eastAsia="zh-CN" w:bidi="ar-SA"/>
              </w:rPr>
            </w:pPr>
          </w:p>
        </w:tc>
        <w:tc>
          <w:tcPr>
            <w:tcW w:w="863" w:type="dxa"/>
            <w:tcBorders>
              <w:top w:val="single" w:color="auto" w:sz="4" w:space="0"/>
              <w:left w:val="single" w:color="auto" w:sz="4" w:space="0"/>
              <w:bottom w:val="single" w:color="auto" w:sz="4" w:space="0"/>
              <w:right w:val="single" w:color="auto" w:sz="4" w:space="0"/>
            </w:tcBorders>
            <w:noWrap w:val="0"/>
            <w:vAlign w:val="center"/>
          </w:tcPr>
          <w:p>
            <w:pPr>
              <w:pStyle w:val="3"/>
              <w:widowControl/>
              <w:rPr>
                <w:rFonts w:hint="eastAsia" w:ascii="仿宋" w:hAnsi="仿宋" w:eastAsia="仿宋" w:cstheme="minorBidi"/>
                <w:bCs/>
                <w:kern w:val="2"/>
                <w:sz w:val="21"/>
                <w:szCs w:val="21"/>
                <w:lang w:val="en-US" w:eastAsia="zh-CN" w:bidi="ar-SA"/>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pPr>
              <w:pStyle w:val="3"/>
              <w:widowControl/>
              <w:rPr>
                <w:rFonts w:hint="eastAsia" w:ascii="仿宋" w:hAnsi="仿宋" w:eastAsia="仿宋" w:cstheme="minorBidi"/>
                <w:bCs/>
                <w:kern w:val="2"/>
                <w:sz w:val="21"/>
                <w:szCs w:val="21"/>
                <w:lang w:val="en-US" w:eastAsia="zh-CN" w:bidi="ar-SA"/>
              </w:rPr>
            </w:pPr>
          </w:p>
        </w:tc>
        <w:tc>
          <w:tcPr>
            <w:tcW w:w="1032" w:type="dxa"/>
            <w:tcBorders>
              <w:top w:val="single" w:color="auto" w:sz="4" w:space="0"/>
              <w:left w:val="single" w:color="auto" w:sz="4" w:space="0"/>
              <w:bottom w:val="single" w:color="auto" w:sz="4" w:space="0"/>
              <w:right w:val="single" w:color="auto" w:sz="4" w:space="0"/>
            </w:tcBorders>
            <w:noWrap w:val="0"/>
            <w:vAlign w:val="center"/>
          </w:tcPr>
          <w:p>
            <w:pPr>
              <w:pStyle w:val="3"/>
              <w:widowControl/>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1063"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合理性规则</w:t>
            </w:r>
          </w:p>
        </w:tc>
        <w:tc>
          <w:tcPr>
            <w:tcW w:w="4525"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支持对文书内容的合理性进行质控，包括但不限于如下示例：</w:t>
            </w:r>
          </w:p>
          <w:p>
            <w:pPr>
              <w:spacing w:line="400" w:lineRule="exact"/>
              <w:ind w:left="425"/>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入院记录婚姻状况合规性质检；</w:t>
            </w:r>
          </w:p>
        </w:tc>
        <w:tc>
          <w:tcPr>
            <w:tcW w:w="787"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425"/>
              <w:jc w:val="left"/>
              <w:rPr>
                <w:rFonts w:hint="eastAsia" w:ascii="仿宋" w:hAnsi="仿宋" w:eastAsia="仿宋" w:cstheme="minorBidi"/>
                <w:bCs/>
                <w:kern w:val="2"/>
                <w:sz w:val="21"/>
                <w:szCs w:val="21"/>
                <w:lang w:val="en-US" w:eastAsia="zh-CN" w:bidi="ar-SA"/>
              </w:rPr>
            </w:pPr>
          </w:p>
        </w:tc>
        <w:tc>
          <w:tcPr>
            <w:tcW w:w="863"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425"/>
              <w:jc w:val="left"/>
              <w:rPr>
                <w:rFonts w:hint="eastAsia" w:ascii="仿宋" w:hAnsi="仿宋" w:eastAsia="仿宋" w:cstheme="minorBidi"/>
                <w:bCs/>
                <w:kern w:val="2"/>
                <w:sz w:val="21"/>
                <w:szCs w:val="21"/>
                <w:lang w:val="en-US" w:eastAsia="zh-CN" w:bidi="ar-SA"/>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425"/>
              <w:jc w:val="left"/>
              <w:rPr>
                <w:rFonts w:hint="eastAsia" w:ascii="仿宋" w:hAnsi="仿宋" w:eastAsia="仿宋" w:cstheme="minorBidi"/>
                <w:bCs/>
                <w:kern w:val="2"/>
                <w:sz w:val="21"/>
                <w:szCs w:val="21"/>
                <w:lang w:val="en-US" w:eastAsia="zh-CN" w:bidi="ar-SA"/>
              </w:rPr>
            </w:pPr>
          </w:p>
        </w:tc>
        <w:tc>
          <w:tcPr>
            <w:tcW w:w="1032"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425"/>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1063"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时效性规则</w:t>
            </w:r>
          </w:p>
        </w:tc>
        <w:tc>
          <w:tcPr>
            <w:tcW w:w="4525"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支持检查全病历文书记录的及时性，包括但不限于如下示例：</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(1)普通病人日常病程记录填写及时性质检</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(2)术前小结及时性质检</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(3)术后首次病程记录及时性质检</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(4)手术记录填写及时性质检</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(5)手术后日常病程记录填写及时性质检</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(6)病危病人日常病程记录填写及时性质检</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(7)病重病人日常病程记录填写及时性质检</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(8)出院记录及时性质检</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(9)入院记录书写及时性质检</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(10)首次病程记录及时性质检</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(11)首次主任医师查房记录及时性质检</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(12)阶段小结完成及时性质检</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(13)入院后首次主治医师查房记录及时性质检</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(14)死亡记录及时性质检</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(15)主任医师|副主任医师日常查房记录时效性质检</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(16)抢救记录时效性质控</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(17)入院三天内的病程记录填写及时性质检</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(18)转科后日常病程记录填写及时性质检</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(19)抢救医嘱后抢救记录及时性质检</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(20)术后主刀医生病程记录及时性质检</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(21)死亡病例讨论记录及时性质检</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(22)抢救记录及时性质检</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(23)首次上级医师查房记录及时性质检</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(24)转科后转入记录完成及时性质检</w:t>
            </w:r>
          </w:p>
        </w:tc>
        <w:tc>
          <w:tcPr>
            <w:tcW w:w="787" w:type="dxa"/>
            <w:tcBorders>
              <w:top w:val="single" w:color="auto" w:sz="4" w:space="0"/>
              <w:left w:val="single" w:color="auto" w:sz="4" w:space="0"/>
              <w:bottom w:val="single" w:color="auto" w:sz="4" w:space="0"/>
              <w:right w:val="single" w:color="auto" w:sz="4" w:space="0"/>
            </w:tcBorders>
            <w:noWrap w:val="0"/>
            <w:vAlign w:val="center"/>
          </w:tcPr>
          <w:p>
            <w:pPr>
              <w:pStyle w:val="3"/>
              <w:widowControl/>
              <w:rPr>
                <w:rFonts w:hint="eastAsia" w:ascii="仿宋" w:hAnsi="仿宋" w:eastAsia="仿宋" w:cstheme="minorBidi"/>
                <w:bCs/>
                <w:kern w:val="2"/>
                <w:sz w:val="21"/>
                <w:szCs w:val="21"/>
                <w:lang w:val="en-US" w:eastAsia="zh-CN" w:bidi="ar-SA"/>
              </w:rPr>
            </w:pPr>
          </w:p>
        </w:tc>
        <w:tc>
          <w:tcPr>
            <w:tcW w:w="863" w:type="dxa"/>
            <w:tcBorders>
              <w:top w:val="single" w:color="auto" w:sz="4" w:space="0"/>
              <w:left w:val="single" w:color="auto" w:sz="4" w:space="0"/>
              <w:bottom w:val="single" w:color="auto" w:sz="4" w:space="0"/>
              <w:right w:val="single" w:color="auto" w:sz="4" w:space="0"/>
            </w:tcBorders>
            <w:noWrap w:val="0"/>
            <w:vAlign w:val="center"/>
          </w:tcPr>
          <w:p>
            <w:pPr>
              <w:pStyle w:val="3"/>
              <w:widowControl/>
              <w:rPr>
                <w:rFonts w:hint="eastAsia" w:ascii="仿宋" w:hAnsi="仿宋" w:eastAsia="仿宋" w:cstheme="minorBidi"/>
                <w:bCs/>
                <w:kern w:val="2"/>
                <w:sz w:val="21"/>
                <w:szCs w:val="21"/>
                <w:lang w:val="en-US" w:eastAsia="zh-CN" w:bidi="ar-SA"/>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pPr>
              <w:pStyle w:val="3"/>
              <w:widowControl/>
              <w:rPr>
                <w:rFonts w:hint="eastAsia" w:ascii="仿宋" w:hAnsi="仿宋" w:eastAsia="仿宋" w:cstheme="minorBidi"/>
                <w:bCs/>
                <w:kern w:val="2"/>
                <w:sz w:val="21"/>
                <w:szCs w:val="21"/>
                <w:lang w:val="en-US" w:eastAsia="zh-CN" w:bidi="ar-SA"/>
              </w:rPr>
            </w:pPr>
          </w:p>
        </w:tc>
        <w:tc>
          <w:tcPr>
            <w:tcW w:w="1032" w:type="dxa"/>
            <w:tcBorders>
              <w:top w:val="single" w:color="auto" w:sz="4" w:space="0"/>
              <w:left w:val="single" w:color="auto" w:sz="4" w:space="0"/>
              <w:bottom w:val="single" w:color="auto" w:sz="4" w:space="0"/>
              <w:right w:val="single" w:color="auto" w:sz="4" w:space="0"/>
            </w:tcBorders>
            <w:noWrap w:val="0"/>
            <w:vAlign w:val="center"/>
          </w:tcPr>
          <w:p>
            <w:pPr>
              <w:pStyle w:val="3"/>
              <w:widowControl/>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5" w:type="dxa"/>
            <w:vMerge w:val="restart"/>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质控规则-内涵质控</w:t>
            </w:r>
          </w:p>
        </w:tc>
        <w:tc>
          <w:tcPr>
            <w:tcW w:w="1063"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质控规则覆盖</w:t>
            </w:r>
          </w:p>
        </w:tc>
        <w:tc>
          <w:tcPr>
            <w:tcW w:w="4525"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内涵质控规则包括病历的完整性质控规则、合理性质控规则、一致性质控规则、雷同性质控规则。</w:t>
            </w:r>
          </w:p>
        </w:tc>
        <w:tc>
          <w:tcPr>
            <w:tcW w:w="787"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c>
          <w:tcPr>
            <w:tcW w:w="863"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c>
          <w:tcPr>
            <w:tcW w:w="1032"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1063"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内涵完整性规则</w:t>
            </w:r>
          </w:p>
        </w:tc>
        <w:tc>
          <w:tcPr>
            <w:tcW w:w="4525" w:type="dxa"/>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支持对各病历文书的记录内容是否存在缺陷进行检查，包括但不限于如下示例：</w:t>
            </w:r>
          </w:p>
          <w:p>
            <w:pPr>
              <w:spacing w:line="400" w:lineRule="exac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（1）入院记录主诉时间不完整；</w:t>
            </w:r>
          </w:p>
          <w:p>
            <w:pPr>
              <w:spacing w:line="400" w:lineRule="exac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（2）出院记录中出院带药信息不完整</w:t>
            </w:r>
          </w:p>
          <w:p>
            <w:pPr>
              <w:spacing w:line="400" w:lineRule="exac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（3）抢救记录中缺少抢救中的病情变化描述；</w:t>
            </w:r>
          </w:p>
          <w:p>
            <w:pPr>
              <w:spacing w:line="400" w:lineRule="exac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（4）入院记录体格检查中缺少固定查体项目（头颈部、胸、腹、四肢、神经系统）；</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（5）手术记录和术后首次病程记录的出血量不一致</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（6）入院记录中过敏史记录内容遗漏</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（7）入院记录中传染病记录内容遗漏</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（8）入院记录现病史对一般情况描述有遗漏</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（9）入院记录既往史中手术史记录内容遗漏</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（10）入院记录个人史缺少必要的描述</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（11）入院记录体格检查中缺少固定查体项目（头颈部、胸、腹、四肢、神经系统）</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（12）既往史中，输血史未描述</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（13）入院记录手术外伤史记录缺少具体内容</w:t>
            </w:r>
          </w:p>
        </w:tc>
        <w:tc>
          <w:tcPr>
            <w:tcW w:w="787" w:type="dxa"/>
            <w:tcBorders>
              <w:top w:val="single" w:color="auto" w:sz="4" w:space="0"/>
              <w:left w:val="single" w:color="auto" w:sz="4" w:space="0"/>
              <w:bottom w:val="single" w:color="auto" w:sz="4" w:space="0"/>
              <w:right w:val="single" w:color="auto" w:sz="4" w:space="0"/>
            </w:tcBorders>
            <w:noWrap w:val="0"/>
            <w:vAlign w:val="center"/>
          </w:tcPr>
          <w:p>
            <w:pPr>
              <w:pStyle w:val="3"/>
              <w:widowControl/>
              <w:rPr>
                <w:rFonts w:hint="eastAsia" w:ascii="仿宋" w:hAnsi="仿宋" w:eastAsia="仿宋" w:cstheme="minorBidi"/>
                <w:bCs/>
                <w:kern w:val="2"/>
                <w:sz w:val="21"/>
                <w:szCs w:val="21"/>
                <w:lang w:val="en-US" w:eastAsia="zh-CN" w:bidi="ar-SA"/>
              </w:rPr>
            </w:pPr>
          </w:p>
        </w:tc>
        <w:tc>
          <w:tcPr>
            <w:tcW w:w="863" w:type="dxa"/>
            <w:tcBorders>
              <w:top w:val="single" w:color="auto" w:sz="4" w:space="0"/>
              <w:left w:val="single" w:color="auto" w:sz="4" w:space="0"/>
              <w:bottom w:val="single" w:color="auto" w:sz="4" w:space="0"/>
              <w:right w:val="single" w:color="auto" w:sz="4" w:space="0"/>
            </w:tcBorders>
            <w:noWrap w:val="0"/>
            <w:vAlign w:val="center"/>
          </w:tcPr>
          <w:p>
            <w:pPr>
              <w:pStyle w:val="3"/>
              <w:widowControl/>
              <w:rPr>
                <w:rFonts w:hint="eastAsia" w:ascii="仿宋" w:hAnsi="仿宋" w:eastAsia="仿宋" w:cstheme="minorBidi"/>
                <w:bCs/>
                <w:kern w:val="2"/>
                <w:sz w:val="21"/>
                <w:szCs w:val="21"/>
                <w:lang w:val="en-US" w:eastAsia="zh-CN" w:bidi="ar-SA"/>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pPr>
              <w:pStyle w:val="3"/>
              <w:widowControl/>
              <w:rPr>
                <w:rFonts w:hint="eastAsia" w:ascii="仿宋" w:hAnsi="仿宋" w:eastAsia="仿宋" w:cstheme="minorBidi"/>
                <w:bCs/>
                <w:kern w:val="2"/>
                <w:sz w:val="21"/>
                <w:szCs w:val="21"/>
                <w:lang w:val="en-US" w:eastAsia="zh-CN" w:bidi="ar-SA"/>
              </w:rPr>
            </w:pPr>
          </w:p>
        </w:tc>
        <w:tc>
          <w:tcPr>
            <w:tcW w:w="1032" w:type="dxa"/>
            <w:tcBorders>
              <w:top w:val="single" w:color="auto" w:sz="4" w:space="0"/>
              <w:left w:val="single" w:color="auto" w:sz="4" w:space="0"/>
              <w:bottom w:val="single" w:color="auto" w:sz="4" w:space="0"/>
              <w:right w:val="single" w:color="auto" w:sz="4" w:space="0"/>
            </w:tcBorders>
            <w:noWrap w:val="0"/>
            <w:vAlign w:val="center"/>
          </w:tcPr>
          <w:p>
            <w:pPr>
              <w:pStyle w:val="3"/>
              <w:widowControl/>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9"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1063"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内涵一致性规则</w:t>
            </w:r>
          </w:p>
        </w:tc>
        <w:tc>
          <w:tcPr>
            <w:tcW w:w="4525"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支持检查文书中对同一情况的记录是否一致进行质控，以此来保证数据准确性，包括但不限于如下示例：</w:t>
            </w:r>
          </w:p>
          <w:p>
            <w:pPr>
              <w:spacing w:line="400" w:lineRule="exac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（1）手术记录和术后首次病程记录的出血量不一致；</w:t>
            </w:r>
          </w:p>
          <w:p>
            <w:pPr>
              <w:spacing w:line="400" w:lineRule="exac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（2）出院记录中的出院带药与医嘱开立的一致性；</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（3）现病史发病时间未描述或错误；</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（4）入院记录病史陈述者与患者意识状态矛盾；</w:t>
            </w:r>
          </w:p>
        </w:tc>
        <w:tc>
          <w:tcPr>
            <w:tcW w:w="787" w:type="dxa"/>
            <w:tcBorders>
              <w:top w:val="single" w:color="auto" w:sz="4" w:space="0"/>
              <w:left w:val="single" w:color="auto" w:sz="4" w:space="0"/>
              <w:bottom w:val="single" w:color="auto" w:sz="4" w:space="0"/>
              <w:right w:val="single" w:color="auto" w:sz="4" w:space="0"/>
            </w:tcBorders>
            <w:noWrap w:val="0"/>
            <w:vAlign w:val="center"/>
          </w:tcPr>
          <w:p>
            <w:pPr>
              <w:pStyle w:val="3"/>
              <w:widowControl/>
              <w:rPr>
                <w:rFonts w:hint="eastAsia" w:ascii="仿宋" w:hAnsi="仿宋" w:eastAsia="仿宋" w:cstheme="minorBidi"/>
                <w:bCs/>
                <w:kern w:val="2"/>
                <w:sz w:val="21"/>
                <w:szCs w:val="21"/>
                <w:lang w:val="en-US" w:eastAsia="zh-CN" w:bidi="ar-SA"/>
              </w:rPr>
            </w:pPr>
          </w:p>
        </w:tc>
        <w:tc>
          <w:tcPr>
            <w:tcW w:w="863" w:type="dxa"/>
            <w:tcBorders>
              <w:top w:val="single" w:color="auto" w:sz="4" w:space="0"/>
              <w:left w:val="single" w:color="auto" w:sz="4" w:space="0"/>
              <w:bottom w:val="single" w:color="auto" w:sz="4" w:space="0"/>
              <w:right w:val="single" w:color="auto" w:sz="4" w:space="0"/>
            </w:tcBorders>
            <w:noWrap w:val="0"/>
            <w:vAlign w:val="center"/>
          </w:tcPr>
          <w:p>
            <w:pPr>
              <w:pStyle w:val="3"/>
              <w:widowControl/>
              <w:rPr>
                <w:rFonts w:hint="eastAsia" w:ascii="仿宋" w:hAnsi="仿宋" w:eastAsia="仿宋" w:cstheme="minorBidi"/>
                <w:bCs/>
                <w:kern w:val="2"/>
                <w:sz w:val="21"/>
                <w:szCs w:val="21"/>
                <w:lang w:val="en-US" w:eastAsia="zh-CN" w:bidi="ar-SA"/>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pPr>
              <w:pStyle w:val="3"/>
              <w:widowControl/>
              <w:rPr>
                <w:rFonts w:hint="eastAsia" w:ascii="仿宋" w:hAnsi="仿宋" w:eastAsia="仿宋" w:cstheme="minorBidi"/>
                <w:bCs/>
                <w:kern w:val="2"/>
                <w:sz w:val="21"/>
                <w:szCs w:val="21"/>
                <w:lang w:val="en-US" w:eastAsia="zh-CN" w:bidi="ar-SA"/>
              </w:rPr>
            </w:pPr>
          </w:p>
        </w:tc>
        <w:tc>
          <w:tcPr>
            <w:tcW w:w="1032" w:type="dxa"/>
            <w:tcBorders>
              <w:top w:val="single" w:color="auto" w:sz="4" w:space="0"/>
              <w:left w:val="single" w:color="auto" w:sz="4" w:space="0"/>
              <w:bottom w:val="single" w:color="auto" w:sz="4" w:space="0"/>
              <w:right w:val="single" w:color="auto" w:sz="4" w:space="0"/>
            </w:tcBorders>
            <w:noWrap w:val="0"/>
            <w:vAlign w:val="center"/>
          </w:tcPr>
          <w:p>
            <w:pPr>
              <w:pStyle w:val="3"/>
              <w:widowControl/>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1063"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诊疗过程合理性规则</w:t>
            </w:r>
          </w:p>
        </w:tc>
        <w:tc>
          <w:tcPr>
            <w:tcW w:w="4525"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支持结合患者临床医生工作站病历文书以及医嘱、检验检查结果等，判断医生的诊疗行为的记录是否符合患者病情特点，包括但不限于如下示例：</w:t>
            </w:r>
          </w:p>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（1)细菌培养结果需要在病程记录中有对应记录</w:t>
            </w:r>
          </w:p>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（2)CT/MRI检查结果需记录在病程记录中；</w:t>
            </w:r>
          </w:p>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（3)有创操作记录中未记录操作后注意事项</w:t>
            </w:r>
          </w:p>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（4)入院记录体格检查中缺少数值描述</w:t>
            </w:r>
          </w:p>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（5)住院患者应用抗菌药物后需记录在病程记录中</w:t>
            </w:r>
          </w:p>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（6)抢救记录无对应抢救医嘱</w:t>
            </w:r>
          </w:p>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（7)有创操作记录中未记录操作时间</w:t>
            </w:r>
          </w:p>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（8)缺少出院前上级医师同意出院的记录</w:t>
            </w:r>
          </w:p>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（9)抢救记录中描述的关键时间节点未精确到分</w:t>
            </w:r>
          </w:p>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（10)抢救记录中未记录关键时间节点</w:t>
            </w:r>
          </w:p>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（11)输血记录中缺少输血种类</w:t>
            </w:r>
          </w:p>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（12)输血记录中缺少输血量</w:t>
            </w:r>
          </w:p>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（13)输血记录中缺少输血后疗效评价</w:t>
            </w:r>
          </w:p>
        </w:tc>
        <w:tc>
          <w:tcPr>
            <w:tcW w:w="787"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c>
          <w:tcPr>
            <w:tcW w:w="863"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c>
          <w:tcPr>
            <w:tcW w:w="1032"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1063"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专科质控规则</w:t>
            </w:r>
          </w:p>
        </w:tc>
        <w:tc>
          <w:tcPr>
            <w:tcW w:w="4525"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系统支持泌尿外科、肾内科、妇产科等相关的专科质控规则，包括但不限于如下示例。</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（1）慢性肾病5期患者，入院记录中专科查体结果缺失</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（2）IgA肾病患者，专科检查中缺失IgA肾病相关体征</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（3）患者诊断胎膜早破，现病史中需记录阴道流液性状描述和ph试纸检测结果</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（4）患者接受膀胱肿瘤相关手术，现病史中典型症状记录缺失</w:t>
            </w:r>
          </w:p>
        </w:tc>
        <w:tc>
          <w:tcPr>
            <w:tcW w:w="787" w:type="dxa"/>
            <w:tcBorders>
              <w:top w:val="single" w:color="auto" w:sz="4" w:space="0"/>
              <w:left w:val="single" w:color="auto" w:sz="4" w:space="0"/>
              <w:bottom w:val="single" w:color="auto" w:sz="4" w:space="0"/>
              <w:right w:val="single" w:color="auto" w:sz="4" w:space="0"/>
            </w:tcBorders>
            <w:noWrap w:val="0"/>
            <w:vAlign w:val="center"/>
          </w:tcPr>
          <w:p>
            <w:pPr>
              <w:pStyle w:val="3"/>
              <w:widowControl/>
              <w:rPr>
                <w:rFonts w:hint="eastAsia" w:ascii="仿宋" w:hAnsi="仿宋" w:eastAsia="仿宋" w:cstheme="minorBidi"/>
                <w:bCs/>
                <w:kern w:val="2"/>
                <w:sz w:val="21"/>
                <w:szCs w:val="21"/>
                <w:lang w:val="en-US" w:eastAsia="zh-CN" w:bidi="ar-SA"/>
              </w:rPr>
            </w:pPr>
          </w:p>
        </w:tc>
        <w:tc>
          <w:tcPr>
            <w:tcW w:w="863" w:type="dxa"/>
            <w:tcBorders>
              <w:top w:val="single" w:color="auto" w:sz="4" w:space="0"/>
              <w:left w:val="single" w:color="auto" w:sz="4" w:space="0"/>
              <w:bottom w:val="single" w:color="auto" w:sz="4" w:space="0"/>
              <w:right w:val="single" w:color="auto" w:sz="4" w:space="0"/>
            </w:tcBorders>
            <w:noWrap w:val="0"/>
            <w:vAlign w:val="center"/>
          </w:tcPr>
          <w:p>
            <w:pPr>
              <w:pStyle w:val="3"/>
              <w:widowControl/>
              <w:rPr>
                <w:rFonts w:hint="eastAsia" w:ascii="仿宋" w:hAnsi="仿宋" w:eastAsia="仿宋" w:cstheme="minorBidi"/>
                <w:bCs/>
                <w:kern w:val="2"/>
                <w:sz w:val="21"/>
                <w:szCs w:val="21"/>
                <w:lang w:val="en-US" w:eastAsia="zh-CN" w:bidi="ar-SA"/>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pPr>
              <w:pStyle w:val="3"/>
              <w:widowControl/>
              <w:rPr>
                <w:rFonts w:hint="eastAsia" w:ascii="仿宋" w:hAnsi="仿宋" w:eastAsia="仿宋" w:cstheme="minorBidi"/>
                <w:bCs/>
                <w:kern w:val="2"/>
                <w:sz w:val="21"/>
                <w:szCs w:val="21"/>
                <w:lang w:val="en-US" w:eastAsia="zh-CN" w:bidi="ar-SA"/>
              </w:rPr>
            </w:pPr>
          </w:p>
        </w:tc>
        <w:tc>
          <w:tcPr>
            <w:tcW w:w="1032" w:type="dxa"/>
            <w:tcBorders>
              <w:top w:val="single" w:color="auto" w:sz="4" w:space="0"/>
              <w:left w:val="single" w:color="auto" w:sz="4" w:space="0"/>
              <w:bottom w:val="single" w:color="auto" w:sz="4" w:space="0"/>
              <w:right w:val="single" w:color="auto" w:sz="4" w:space="0"/>
            </w:tcBorders>
            <w:noWrap w:val="0"/>
            <w:vAlign w:val="center"/>
          </w:tcPr>
          <w:p>
            <w:pPr>
              <w:pStyle w:val="3"/>
              <w:widowControl/>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1063"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客观逻辑一致性规则</w:t>
            </w:r>
          </w:p>
        </w:tc>
        <w:tc>
          <w:tcPr>
            <w:tcW w:w="4525"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系统可检查全病历中记录的内容是否符合客观逻辑一致性，包括但不限于如下示例：</w:t>
            </w:r>
          </w:p>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男性患者不应存在月经史描述；</w:t>
            </w:r>
          </w:p>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女性患者查体与性别不符；</w:t>
            </w:r>
          </w:p>
        </w:tc>
        <w:tc>
          <w:tcPr>
            <w:tcW w:w="787"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c>
          <w:tcPr>
            <w:tcW w:w="863"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c>
          <w:tcPr>
            <w:tcW w:w="1032"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1063"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雷同性规则</w:t>
            </w:r>
          </w:p>
        </w:tc>
        <w:tc>
          <w:tcPr>
            <w:tcW w:w="4525"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支持检查全病历文书记录，对文书进行雷同性判断，当相似度超过一定比例后主动提示质控缺陷，包括但不限于如下示例：</w:t>
            </w:r>
          </w:p>
          <w:p>
            <w:pPr>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病程记录（首次病程/首次查房/日常查房/上级医师查房）高度雷同</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首次病程中病例特点的内容与入院记录现病史存在高度相似情况</w:t>
            </w:r>
          </w:p>
        </w:tc>
        <w:tc>
          <w:tcPr>
            <w:tcW w:w="787" w:type="dxa"/>
            <w:tcBorders>
              <w:top w:val="single" w:color="auto" w:sz="4" w:space="0"/>
              <w:left w:val="single" w:color="auto" w:sz="4" w:space="0"/>
              <w:bottom w:val="single" w:color="auto" w:sz="4" w:space="0"/>
              <w:right w:val="single" w:color="auto" w:sz="4" w:space="0"/>
            </w:tcBorders>
            <w:noWrap w:val="0"/>
            <w:vAlign w:val="center"/>
          </w:tcPr>
          <w:p>
            <w:pPr>
              <w:pStyle w:val="3"/>
              <w:widowControl/>
              <w:rPr>
                <w:rFonts w:hint="eastAsia" w:ascii="仿宋" w:hAnsi="仿宋" w:eastAsia="仿宋" w:cstheme="minorBidi"/>
                <w:bCs/>
                <w:kern w:val="2"/>
                <w:sz w:val="21"/>
                <w:szCs w:val="21"/>
                <w:lang w:val="en-US" w:eastAsia="zh-CN" w:bidi="ar-SA"/>
              </w:rPr>
            </w:pPr>
          </w:p>
        </w:tc>
        <w:tc>
          <w:tcPr>
            <w:tcW w:w="863" w:type="dxa"/>
            <w:tcBorders>
              <w:top w:val="single" w:color="auto" w:sz="4" w:space="0"/>
              <w:left w:val="single" w:color="auto" w:sz="4" w:space="0"/>
              <w:bottom w:val="single" w:color="auto" w:sz="4" w:space="0"/>
              <w:right w:val="single" w:color="auto" w:sz="4" w:space="0"/>
            </w:tcBorders>
            <w:noWrap w:val="0"/>
            <w:vAlign w:val="center"/>
          </w:tcPr>
          <w:p>
            <w:pPr>
              <w:pStyle w:val="3"/>
              <w:widowControl/>
              <w:rPr>
                <w:rFonts w:hint="eastAsia" w:ascii="仿宋" w:hAnsi="仿宋" w:eastAsia="仿宋" w:cstheme="minorBidi"/>
                <w:bCs/>
                <w:kern w:val="2"/>
                <w:sz w:val="21"/>
                <w:szCs w:val="21"/>
                <w:lang w:val="en-US" w:eastAsia="zh-CN" w:bidi="ar-SA"/>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pPr>
              <w:pStyle w:val="3"/>
              <w:widowControl/>
              <w:rPr>
                <w:rFonts w:hint="eastAsia" w:ascii="仿宋" w:hAnsi="仿宋" w:eastAsia="仿宋" w:cstheme="minorBidi"/>
                <w:bCs/>
                <w:kern w:val="2"/>
                <w:sz w:val="21"/>
                <w:szCs w:val="21"/>
                <w:lang w:val="en-US" w:eastAsia="zh-CN" w:bidi="ar-SA"/>
              </w:rPr>
            </w:pPr>
          </w:p>
        </w:tc>
        <w:tc>
          <w:tcPr>
            <w:tcW w:w="1032" w:type="dxa"/>
            <w:tcBorders>
              <w:top w:val="single" w:color="auto" w:sz="4" w:space="0"/>
              <w:left w:val="single" w:color="auto" w:sz="4" w:space="0"/>
              <w:bottom w:val="single" w:color="auto" w:sz="4" w:space="0"/>
              <w:right w:val="single" w:color="auto" w:sz="4" w:space="0"/>
            </w:tcBorders>
            <w:noWrap w:val="0"/>
            <w:vAlign w:val="center"/>
          </w:tcPr>
          <w:p>
            <w:pPr>
              <w:pStyle w:val="3"/>
              <w:widowControl/>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1063"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规则管理</w:t>
            </w:r>
          </w:p>
        </w:tc>
        <w:tc>
          <w:tcPr>
            <w:tcW w:w="4525" w:type="dxa"/>
            <w:tcBorders>
              <w:top w:val="single" w:color="auto" w:sz="4" w:space="0"/>
              <w:left w:val="single" w:color="auto" w:sz="4" w:space="0"/>
              <w:bottom w:val="single" w:color="auto" w:sz="4" w:space="0"/>
              <w:right w:val="single" w:color="auto" w:sz="4" w:space="0"/>
            </w:tcBorders>
            <w:noWrap w:val="0"/>
            <w:vAlign w:val="center"/>
          </w:tcPr>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支持根据医院实际质控情况对质控规则进行开启关闭，质控级别配置，同时支持对时效性规则进行倒计时提醒时间的配置。 支持入院记录要在24小时内完成，配置成8小时倒计时提醒，患者入院16小时后如果未书写入院记录，系统进行倒计时提醒。</w:t>
            </w:r>
          </w:p>
        </w:tc>
        <w:tc>
          <w:tcPr>
            <w:tcW w:w="787" w:type="dxa"/>
            <w:tcBorders>
              <w:top w:val="single" w:color="auto" w:sz="4" w:space="0"/>
              <w:left w:val="single" w:color="auto" w:sz="4" w:space="0"/>
              <w:bottom w:val="single" w:color="auto" w:sz="4" w:space="0"/>
              <w:right w:val="single" w:color="auto" w:sz="4" w:space="0"/>
            </w:tcBorders>
            <w:noWrap w:val="0"/>
            <w:vAlign w:val="center"/>
          </w:tcPr>
          <w:p>
            <w:pPr>
              <w:pStyle w:val="3"/>
              <w:widowControl/>
              <w:rPr>
                <w:rFonts w:hint="eastAsia" w:ascii="仿宋" w:hAnsi="仿宋" w:eastAsia="仿宋" w:cstheme="minorBidi"/>
                <w:bCs/>
                <w:kern w:val="2"/>
                <w:sz w:val="21"/>
                <w:szCs w:val="21"/>
                <w:lang w:val="en-US" w:eastAsia="zh-CN" w:bidi="ar-SA"/>
              </w:rPr>
            </w:pPr>
          </w:p>
        </w:tc>
        <w:tc>
          <w:tcPr>
            <w:tcW w:w="863" w:type="dxa"/>
            <w:tcBorders>
              <w:top w:val="single" w:color="auto" w:sz="4" w:space="0"/>
              <w:left w:val="single" w:color="auto" w:sz="4" w:space="0"/>
              <w:bottom w:val="single" w:color="auto" w:sz="4" w:space="0"/>
              <w:right w:val="single" w:color="auto" w:sz="4" w:space="0"/>
            </w:tcBorders>
            <w:noWrap w:val="0"/>
            <w:vAlign w:val="center"/>
          </w:tcPr>
          <w:p>
            <w:pPr>
              <w:pStyle w:val="3"/>
              <w:widowControl/>
              <w:rPr>
                <w:rFonts w:hint="eastAsia" w:ascii="仿宋" w:hAnsi="仿宋" w:eastAsia="仿宋" w:cstheme="minorBidi"/>
                <w:bCs/>
                <w:kern w:val="2"/>
                <w:sz w:val="21"/>
                <w:szCs w:val="21"/>
                <w:lang w:val="en-US" w:eastAsia="zh-CN" w:bidi="ar-SA"/>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pPr>
              <w:pStyle w:val="3"/>
              <w:widowControl/>
              <w:rPr>
                <w:rFonts w:hint="eastAsia" w:ascii="仿宋" w:hAnsi="仿宋" w:eastAsia="仿宋" w:cstheme="minorBidi"/>
                <w:bCs/>
                <w:kern w:val="2"/>
                <w:sz w:val="21"/>
                <w:szCs w:val="21"/>
                <w:lang w:val="en-US" w:eastAsia="zh-CN" w:bidi="ar-SA"/>
              </w:rPr>
            </w:pPr>
          </w:p>
        </w:tc>
        <w:tc>
          <w:tcPr>
            <w:tcW w:w="1032" w:type="dxa"/>
            <w:tcBorders>
              <w:top w:val="single" w:color="auto" w:sz="4" w:space="0"/>
              <w:left w:val="single" w:color="auto" w:sz="4" w:space="0"/>
              <w:bottom w:val="single" w:color="auto" w:sz="4" w:space="0"/>
              <w:right w:val="single" w:color="auto" w:sz="4" w:space="0"/>
            </w:tcBorders>
            <w:noWrap w:val="0"/>
            <w:vAlign w:val="center"/>
          </w:tcPr>
          <w:p>
            <w:pPr>
              <w:pStyle w:val="3"/>
              <w:widowControl/>
              <w:rPr>
                <w:rFonts w:hint="eastAsia" w:ascii="仿宋" w:hAnsi="仿宋" w:eastAsia="仿宋" w:cstheme="minorBidi"/>
                <w:bCs/>
                <w:kern w:val="2"/>
                <w:sz w:val="21"/>
                <w:szCs w:val="21"/>
                <w:lang w:val="en-US" w:eastAsia="zh-CN" w:bidi="ar-SA"/>
              </w:rPr>
            </w:pPr>
          </w:p>
        </w:tc>
      </w:tr>
    </w:tbl>
    <w:p>
      <w:pPr>
        <w:pStyle w:val="3"/>
        <w:widowControl/>
        <w:ind w:left="360" w:hanging="360"/>
        <w:rPr>
          <w:rFonts w:hint="eastAsia" w:ascii="仿宋" w:hAnsi="仿宋" w:eastAsia="仿宋" w:cstheme="minorBidi"/>
          <w:bCs/>
          <w:kern w:val="2"/>
          <w:sz w:val="21"/>
          <w:szCs w:val="21"/>
          <w:lang w:val="en-US" w:eastAsia="zh-CN" w:bidi="ar-SA"/>
        </w:rPr>
      </w:pPr>
    </w:p>
    <w:p>
      <w:pPr>
        <w:pStyle w:val="3"/>
        <w:widowControl/>
        <w:jc w:val="left"/>
        <w:outlineLvl w:val="0"/>
        <w:rPr>
          <w:rFonts w:hint="eastAsia" w:ascii="宋体" w:hAnsi="宋体" w:cs="宋体"/>
          <w:b/>
          <w:color w:val="000000"/>
          <w:sz w:val="24"/>
          <w:lang w:val="en-US" w:eastAsia="zh-CN"/>
        </w:rPr>
      </w:pPr>
      <w:r>
        <w:rPr>
          <w:rFonts w:hint="eastAsia" w:ascii="宋体" w:hAnsi="宋体" w:cs="宋体"/>
          <w:b/>
          <w:color w:val="000000"/>
          <w:sz w:val="24"/>
          <w:lang w:val="en-US" w:eastAsia="zh-CN"/>
        </w:rPr>
        <w:t>2、门诊病历质控系统</w:t>
      </w:r>
    </w:p>
    <w:tbl>
      <w:tblPr>
        <w:tblStyle w:val="7"/>
        <w:tblW w:w="98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6"/>
        <w:gridCol w:w="1050"/>
        <w:gridCol w:w="4537"/>
        <w:gridCol w:w="800"/>
        <w:gridCol w:w="888"/>
        <w:gridCol w:w="962"/>
        <w:gridCol w:w="10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03" w:type="dxa"/>
            <w:gridSpan w:val="4"/>
            <w:noWrap w:val="0"/>
            <w:vAlign w:val="center"/>
          </w:tcPr>
          <w:p>
            <w:pPr>
              <w:pStyle w:val="16"/>
              <w:kinsoku w:val="0"/>
              <w:overflowPunct w:val="0"/>
              <w:spacing w:line="46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本项目初步参数拟设置情况</w:t>
            </w:r>
          </w:p>
        </w:tc>
        <w:tc>
          <w:tcPr>
            <w:tcW w:w="888" w:type="dxa"/>
            <w:vMerge w:val="restart"/>
            <w:noWrap w:val="0"/>
            <w:vAlign w:val="top"/>
          </w:tcPr>
          <w:p>
            <w:pPr>
              <w:pStyle w:val="16"/>
              <w:widowControl/>
              <w:kinsoku w:val="0"/>
              <w:overflowPunct w:val="0"/>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响应情况</w:t>
            </w:r>
          </w:p>
        </w:tc>
        <w:tc>
          <w:tcPr>
            <w:tcW w:w="962" w:type="dxa"/>
            <w:vMerge w:val="restart"/>
            <w:noWrap w:val="0"/>
            <w:vAlign w:val="top"/>
          </w:tcPr>
          <w:p>
            <w:pPr>
              <w:pStyle w:val="16"/>
              <w:widowControl/>
              <w:kinsoku w:val="0"/>
              <w:overflowPunct w:val="0"/>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建议修改指标</w:t>
            </w:r>
          </w:p>
        </w:tc>
        <w:tc>
          <w:tcPr>
            <w:tcW w:w="1064" w:type="dxa"/>
            <w:vMerge w:val="restart"/>
            <w:noWrap w:val="0"/>
            <w:vAlign w:val="top"/>
          </w:tcPr>
          <w:p>
            <w:pPr>
              <w:pStyle w:val="16"/>
              <w:widowControl/>
              <w:kinsoku w:val="0"/>
              <w:overflowPunct w:val="0"/>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备注（真实指标、是否独家、是否提供有效检测报告）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6" w:type="dxa"/>
            <w:noWrap w:val="0"/>
            <w:vAlign w:val="center"/>
          </w:tcPr>
          <w:p>
            <w:pPr>
              <w:pStyle w:val="16"/>
              <w:widowControl/>
              <w:kinsoku w:val="0"/>
              <w:overflowPunct w:val="0"/>
              <w:spacing w:line="400" w:lineRule="exac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系统名称</w:t>
            </w:r>
          </w:p>
        </w:tc>
        <w:tc>
          <w:tcPr>
            <w:tcW w:w="1050" w:type="dxa"/>
            <w:noWrap w:val="0"/>
            <w:vAlign w:val="center"/>
          </w:tcPr>
          <w:p>
            <w:pPr>
              <w:pStyle w:val="16"/>
              <w:widowControl/>
              <w:kinsoku w:val="0"/>
              <w:overflowPunct w:val="0"/>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系统功能</w:t>
            </w:r>
          </w:p>
        </w:tc>
        <w:tc>
          <w:tcPr>
            <w:tcW w:w="4537" w:type="dxa"/>
            <w:noWrap w:val="0"/>
            <w:vAlign w:val="top"/>
          </w:tcPr>
          <w:p>
            <w:pPr>
              <w:pStyle w:val="16"/>
              <w:widowControl/>
              <w:kinsoku w:val="0"/>
              <w:overflowPunct w:val="0"/>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初步参数设置情况</w:t>
            </w:r>
          </w:p>
        </w:tc>
        <w:tc>
          <w:tcPr>
            <w:tcW w:w="800" w:type="dxa"/>
            <w:noWrap w:val="0"/>
            <w:vAlign w:val="top"/>
          </w:tcPr>
          <w:p>
            <w:pPr>
              <w:pStyle w:val="16"/>
              <w:kinsoku w:val="0"/>
              <w:overflowPunct w:val="0"/>
              <w:spacing w:line="46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是否设置为为★</w:t>
            </w:r>
          </w:p>
        </w:tc>
        <w:tc>
          <w:tcPr>
            <w:tcW w:w="888" w:type="dxa"/>
            <w:vMerge w:val="continue"/>
            <w:tcBorders/>
            <w:noWrap w:val="0"/>
            <w:vAlign w:val="center"/>
          </w:tcPr>
          <w:p>
            <w:pPr>
              <w:pStyle w:val="16"/>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962" w:type="dxa"/>
            <w:vMerge w:val="continue"/>
            <w:tcBorders/>
            <w:noWrap w:val="0"/>
            <w:vAlign w:val="center"/>
          </w:tcPr>
          <w:p>
            <w:pPr>
              <w:pStyle w:val="16"/>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64" w:type="dxa"/>
            <w:vMerge w:val="continue"/>
            <w:tcBorders/>
            <w:noWrap w:val="0"/>
            <w:vAlign w:val="top"/>
          </w:tcPr>
          <w:p>
            <w:pPr>
              <w:pStyle w:val="16"/>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6" w:type="dxa"/>
            <w:vMerge w:val="restart"/>
            <w:noWrap w:val="0"/>
            <w:vAlign w:val="center"/>
          </w:tcPr>
          <w:p>
            <w:pPr>
              <w:pStyle w:val="16"/>
              <w:kinsoku w:val="0"/>
              <w:overflowPunct w:val="0"/>
              <w:spacing w:line="46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Hans" w:bidi="ar-SA"/>
              </w:rPr>
              <w:t>门诊</w:t>
            </w:r>
            <w:r>
              <w:rPr>
                <w:rFonts w:hint="eastAsia" w:ascii="仿宋" w:hAnsi="仿宋" w:eastAsia="仿宋" w:cstheme="minorBidi"/>
                <w:bCs/>
                <w:kern w:val="2"/>
                <w:sz w:val="21"/>
                <w:szCs w:val="21"/>
                <w:lang w:val="en-US" w:eastAsia="zh-CN" w:bidi="ar-SA"/>
              </w:rPr>
              <w:t>病历形式质控</w:t>
            </w:r>
          </w:p>
        </w:tc>
        <w:tc>
          <w:tcPr>
            <w:tcW w:w="1050" w:type="dxa"/>
            <w:noWrap w:val="0"/>
            <w:vAlign w:val="center"/>
          </w:tcPr>
          <w:p>
            <w:pPr>
              <w:pStyle w:val="16"/>
              <w:kinsoku w:val="0"/>
              <w:overflowPunct w:val="0"/>
              <w:spacing w:line="46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事前质控提示</w:t>
            </w:r>
          </w:p>
        </w:tc>
        <w:tc>
          <w:tcPr>
            <w:tcW w:w="4537" w:type="dxa"/>
            <w:noWrap w:val="0"/>
            <w:vAlign w:val="center"/>
          </w:tcPr>
          <w:p>
            <w:pPr>
              <w:widowControl/>
              <w:spacing w:line="46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病历书写形式质控，至少应包括对</w:t>
            </w:r>
            <w:r>
              <w:rPr>
                <w:rFonts w:hint="eastAsia" w:ascii="仿宋" w:hAnsi="仿宋" w:eastAsia="仿宋" w:cstheme="minorBidi"/>
                <w:bCs/>
                <w:kern w:val="2"/>
                <w:sz w:val="21"/>
                <w:szCs w:val="21"/>
                <w:lang w:val="en-US" w:eastAsia="zh-Hans" w:bidi="ar-SA"/>
              </w:rPr>
              <w:t>门诊病历中</w:t>
            </w:r>
            <w:r>
              <w:rPr>
                <w:rFonts w:hint="eastAsia" w:ascii="仿宋" w:hAnsi="仿宋" w:eastAsia="仿宋" w:cstheme="minorBidi"/>
                <w:bCs/>
                <w:kern w:val="2"/>
                <w:sz w:val="21"/>
                <w:szCs w:val="21"/>
                <w:lang w:val="en-US" w:eastAsia="zh-CN" w:bidi="ar-SA"/>
              </w:rPr>
              <w:t>所有病历中信息填写的完整性、一致性和合规性进行智能判断，当病历内容存在缺失时，系统将主动提示质控缺陷并标识原因。</w:t>
            </w:r>
          </w:p>
        </w:tc>
        <w:tc>
          <w:tcPr>
            <w:tcW w:w="800" w:type="dxa"/>
            <w:noWrap w:val="0"/>
            <w:vAlign w:val="center"/>
          </w:tcPr>
          <w:p>
            <w:pPr>
              <w:widowControl/>
              <w:spacing w:line="460" w:lineRule="exact"/>
              <w:jc w:val="left"/>
              <w:rPr>
                <w:rFonts w:hint="eastAsia" w:ascii="仿宋" w:hAnsi="仿宋" w:eastAsia="仿宋" w:cstheme="minorBidi"/>
                <w:bCs/>
                <w:kern w:val="2"/>
                <w:sz w:val="21"/>
                <w:szCs w:val="21"/>
                <w:lang w:val="en-US" w:eastAsia="zh-CN" w:bidi="ar-SA"/>
              </w:rPr>
            </w:pPr>
          </w:p>
        </w:tc>
        <w:tc>
          <w:tcPr>
            <w:tcW w:w="888" w:type="dxa"/>
            <w:noWrap w:val="0"/>
            <w:vAlign w:val="center"/>
          </w:tcPr>
          <w:p>
            <w:pPr>
              <w:widowControl/>
              <w:spacing w:line="460" w:lineRule="exact"/>
              <w:jc w:val="left"/>
              <w:rPr>
                <w:rFonts w:hint="eastAsia" w:ascii="仿宋" w:hAnsi="仿宋" w:eastAsia="仿宋" w:cstheme="minorBidi"/>
                <w:bCs/>
                <w:kern w:val="2"/>
                <w:sz w:val="21"/>
                <w:szCs w:val="21"/>
                <w:lang w:val="en-US" w:eastAsia="zh-CN" w:bidi="ar-SA"/>
              </w:rPr>
            </w:pPr>
          </w:p>
        </w:tc>
        <w:tc>
          <w:tcPr>
            <w:tcW w:w="962" w:type="dxa"/>
            <w:noWrap w:val="0"/>
            <w:vAlign w:val="center"/>
          </w:tcPr>
          <w:p>
            <w:pPr>
              <w:widowControl/>
              <w:spacing w:line="460" w:lineRule="exact"/>
              <w:jc w:val="left"/>
              <w:rPr>
                <w:rFonts w:hint="eastAsia" w:ascii="仿宋" w:hAnsi="仿宋" w:eastAsia="仿宋" w:cstheme="minorBidi"/>
                <w:bCs/>
                <w:kern w:val="2"/>
                <w:sz w:val="21"/>
                <w:szCs w:val="21"/>
                <w:lang w:val="en-US" w:eastAsia="zh-CN" w:bidi="ar-SA"/>
              </w:rPr>
            </w:pPr>
          </w:p>
        </w:tc>
        <w:tc>
          <w:tcPr>
            <w:tcW w:w="1064" w:type="dxa"/>
            <w:noWrap w:val="0"/>
            <w:vAlign w:val="center"/>
          </w:tcPr>
          <w:p>
            <w:pPr>
              <w:widowControl/>
              <w:spacing w:line="460" w:lineRule="exact"/>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6" w:type="dxa"/>
            <w:vMerge w:val="continue"/>
            <w:noWrap w:val="0"/>
            <w:vAlign w:val="center"/>
          </w:tcPr>
          <w:p>
            <w:pPr>
              <w:pStyle w:val="16"/>
              <w:kinsoku w:val="0"/>
              <w:overflowPunct w:val="0"/>
              <w:spacing w:line="460" w:lineRule="exact"/>
              <w:jc w:val="center"/>
              <w:rPr>
                <w:rFonts w:hint="eastAsia" w:ascii="仿宋" w:hAnsi="仿宋" w:eastAsia="仿宋" w:cstheme="minorBidi"/>
                <w:bCs/>
                <w:kern w:val="2"/>
                <w:sz w:val="21"/>
                <w:szCs w:val="21"/>
                <w:lang w:val="en-US" w:eastAsia="zh-CN" w:bidi="ar-SA"/>
              </w:rPr>
            </w:pPr>
          </w:p>
        </w:tc>
        <w:tc>
          <w:tcPr>
            <w:tcW w:w="1050" w:type="dxa"/>
            <w:noWrap w:val="0"/>
            <w:vAlign w:val="center"/>
          </w:tcPr>
          <w:p>
            <w:pPr>
              <w:pStyle w:val="16"/>
              <w:kinsoku w:val="0"/>
              <w:overflowPunct w:val="0"/>
              <w:spacing w:line="46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病历质控点</w:t>
            </w:r>
          </w:p>
        </w:tc>
        <w:tc>
          <w:tcPr>
            <w:tcW w:w="4537" w:type="dxa"/>
            <w:noWrap w:val="0"/>
            <w:vAlign w:val="center"/>
          </w:tcPr>
          <w:p>
            <w:pPr>
              <w:widowControl/>
              <w:spacing w:line="46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系统应覆盖15余个病历质控点，至少应包括：</w:t>
            </w:r>
            <w:r>
              <w:rPr>
                <w:rFonts w:hint="eastAsia" w:ascii="仿宋" w:hAnsi="仿宋" w:eastAsia="仿宋" w:cstheme="minorBidi"/>
                <w:bCs/>
                <w:kern w:val="2"/>
                <w:sz w:val="21"/>
                <w:szCs w:val="21"/>
                <w:lang w:val="en-US" w:eastAsia="zh-Hans" w:bidi="ar-SA"/>
              </w:rPr>
              <w:t>门诊病历</w:t>
            </w:r>
            <w:r>
              <w:rPr>
                <w:rFonts w:hint="eastAsia" w:ascii="仿宋" w:hAnsi="仿宋" w:eastAsia="仿宋" w:cstheme="minorBidi"/>
                <w:bCs/>
                <w:kern w:val="2"/>
                <w:sz w:val="21"/>
                <w:szCs w:val="21"/>
                <w:lang w:val="en-US" w:eastAsia="zh-CN" w:bidi="ar-SA"/>
              </w:rPr>
              <w:t>、</w:t>
            </w:r>
            <w:r>
              <w:rPr>
                <w:rFonts w:hint="eastAsia" w:ascii="仿宋" w:hAnsi="仿宋" w:eastAsia="仿宋" w:cstheme="minorBidi"/>
                <w:bCs/>
                <w:kern w:val="2"/>
                <w:sz w:val="21"/>
                <w:szCs w:val="21"/>
                <w:lang w:val="en-US" w:eastAsia="zh-Hans" w:bidi="ar-SA"/>
              </w:rPr>
              <w:t>门诊复诊病历</w:t>
            </w:r>
            <w:r>
              <w:rPr>
                <w:rFonts w:hint="eastAsia" w:ascii="仿宋" w:hAnsi="仿宋" w:eastAsia="仿宋" w:cstheme="minorBidi"/>
                <w:bCs/>
                <w:kern w:val="2"/>
                <w:sz w:val="21"/>
                <w:szCs w:val="21"/>
                <w:lang w:val="en-US" w:eastAsia="zh-CN" w:bidi="ar-SA"/>
              </w:rPr>
              <w:t>、</w:t>
            </w:r>
            <w:r>
              <w:rPr>
                <w:rFonts w:hint="eastAsia" w:ascii="仿宋" w:hAnsi="仿宋" w:eastAsia="仿宋" w:cstheme="minorBidi"/>
                <w:bCs/>
                <w:kern w:val="2"/>
                <w:sz w:val="21"/>
                <w:szCs w:val="21"/>
                <w:lang w:val="en-US" w:eastAsia="zh-Hans" w:bidi="ar-SA"/>
              </w:rPr>
              <w:t>门诊补充续打病历</w:t>
            </w:r>
            <w:r>
              <w:rPr>
                <w:rFonts w:hint="eastAsia" w:ascii="仿宋" w:hAnsi="仿宋" w:eastAsia="仿宋" w:cstheme="minorBidi"/>
                <w:bCs/>
                <w:kern w:val="2"/>
                <w:sz w:val="21"/>
                <w:szCs w:val="21"/>
                <w:lang w:val="en-US" w:eastAsia="zh-CN" w:bidi="ar-SA"/>
              </w:rPr>
              <w:t>等所有内容的书写一致性、完整性、合规性的主动审核。</w:t>
            </w:r>
          </w:p>
        </w:tc>
        <w:tc>
          <w:tcPr>
            <w:tcW w:w="800" w:type="dxa"/>
            <w:noWrap w:val="0"/>
            <w:vAlign w:val="center"/>
          </w:tcPr>
          <w:p>
            <w:pPr>
              <w:widowControl/>
              <w:spacing w:line="460" w:lineRule="exact"/>
              <w:jc w:val="left"/>
              <w:rPr>
                <w:rFonts w:hint="eastAsia" w:ascii="仿宋" w:hAnsi="仿宋" w:eastAsia="仿宋" w:cstheme="minorBidi"/>
                <w:bCs/>
                <w:kern w:val="2"/>
                <w:sz w:val="21"/>
                <w:szCs w:val="21"/>
                <w:lang w:val="en-US" w:eastAsia="zh-CN" w:bidi="ar-SA"/>
              </w:rPr>
            </w:pPr>
          </w:p>
        </w:tc>
        <w:tc>
          <w:tcPr>
            <w:tcW w:w="888" w:type="dxa"/>
            <w:noWrap w:val="0"/>
            <w:vAlign w:val="center"/>
          </w:tcPr>
          <w:p>
            <w:pPr>
              <w:widowControl/>
              <w:spacing w:line="460" w:lineRule="exact"/>
              <w:jc w:val="left"/>
              <w:rPr>
                <w:rFonts w:hint="eastAsia" w:ascii="仿宋" w:hAnsi="仿宋" w:eastAsia="仿宋" w:cstheme="minorBidi"/>
                <w:bCs/>
                <w:kern w:val="2"/>
                <w:sz w:val="21"/>
                <w:szCs w:val="21"/>
                <w:lang w:val="en-US" w:eastAsia="zh-CN" w:bidi="ar-SA"/>
              </w:rPr>
            </w:pPr>
          </w:p>
        </w:tc>
        <w:tc>
          <w:tcPr>
            <w:tcW w:w="962" w:type="dxa"/>
            <w:noWrap w:val="0"/>
            <w:vAlign w:val="center"/>
          </w:tcPr>
          <w:p>
            <w:pPr>
              <w:widowControl/>
              <w:spacing w:line="460" w:lineRule="exact"/>
              <w:jc w:val="left"/>
              <w:rPr>
                <w:rFonts w:hint="eastAsia" w:ascii="仿宋" w:hAnsi="仿宋" w:eastAsia="仿宋" w:cstheme="minorBidi"/>
                <w:bCs/>
                <w:kern w:val="2"/>
                <w:sz w:val="21"/>
                <w:szCs w:val="21"/>
                <w:lang w:val="en-US" w:eastAsia="zh-CN" w:bidi="ar-SA"/>
              </w:rPr>
            </w:pPr>
          </w:p>
        </w:tc>
        <w:tc>
          <w:tcPr>
            <w:tcW w:w="1064" w:type="dxa"/>
            <w:noWrap w:val="0"/>
            <w:vAlign w:val="center"/>
          </w:tcPr>
          <w:p>
            <w:pPr>
              <w:widowControl/>
              <w:spacing w:line="460" w:lineRule="exact"/>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6" w:type="dxa"/>
            <w:vMerge w:val="continue"/>
            <w:noWrap w:val="0"/>
            <w:vAlign w:val="center"/>
          </w:tcPr>
          <w:p>
            <w:pPr>
              <w:pStyle w:val="16"/>
              <w:kinsoku w:val="0"/>
              <w:overflowPunct w:val="0"/>
              <w:spacing w:line="460" w:lineRule="exact"/>
              <w:jc w:val="center"/>
              <w:rPr>
                <w:rFonts w:hint="eastAsia" w:ascii="仿宋" w:hAnsi="仿宋" w:eastAsia="仿宋" w:cstheme="minorBidi"/>
                <w:bCs/>
                <w:kern w:val="2"/>
                <w:sz w:val="21"/>
                <w:szCs w:val="21"/>
                <w:lang w:val="en-US" w:eastAsia="zh-CN" w:bidi="ar-SA"/>
              </w:rPr>
            </w:pPr>
          </w:p>
        </w:tc>
        <w:tc>
          <w:tcPr>
            <w:tcW w:w="1050" w:type="dxa"/>
            <w:vMerge w:val="restart"/>
            <w:noWrap w:val="0"/>
            <w:vAlign w:val="center"/>
          </w:tcPr>
          <w:p>
            <w:pPr>
              <w:pStyle w:val="16"/>
              <w:kinsoku w:val="0"/>
              <w:overflowPunct w:val="0"/>
              <w:spacing w:line="46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病历及诊疗资料浏览</w:t>
            </w:r>
          </w:p>
        </w:tc>
        <w:tc>
          <w:tcPr>
            <w:tcW w:w="4537" w:type="dxa"/>
            <w:noWrap w:val="0"/>
            <w:vAlign w:val="center"/>
          </w:tcPr>
          <w:p>
            <w:pPr>
              <w:widowControl/>
              <w:spacing w:line="400" w:lineRule="exact"/>
              <w:ind w:right="800"/>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病历文书：</w:t>
            </w:r>
          </w:p>
          <w:p>
            <w:pPr>
              <w:widowControl/>
              <w:spacing w:line="46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提供病历文书浏览和内容基本项目缺陷检查功能。</w:t>
            </w:r>
          </w:p>
        </w:tc>
        <w:tc>
          <w:tcPr>
            <w:tcW w:w="800" w:type="dxa"/>
            <w:noWrap w:val="0"/>
            <w:vAlign w:val="center"/>
          </w:tcPr>
          <w:p>
            <w:pPr>
              <w:widowControl/>
              <w:spacing w:line="460" w:lineRule="exact"/>
              <w:jc w:val="left"/>
              <w:rPr>
                <w:rFonts w:hint="eastAsia" w:ascii="仿宋" w:hAnsi="仿宋" w:eastAsia="仿宋" w:cstheme="minorBidi"/>
                <w:bCs/>
                <w:kern w:val="2"/>
                <w:sz w:val="21"/>
                <w:szCs w:val="21"/>
                <w:lang w:val="en-US" w:eastAsia="zh-CN" w:bidi="ar-SA"/>
              </w:rPr>
            </w:pPr>
          </w:p>
        </w:tc>
        <w:tc>
          <w:tcPr>
            <w:tcW w:w="888" w:type="dxa"/>
            <w:noWrap w:val="0"/>
            <w:vAlign w:val="center"/>
          </w:tcPr>
          <w:p>
            <w:pPr>
              <w:widowControl/>
              <w:spacing w:line="460" w:lineRule="exact"/>
              <w:jc w:val="left"/>
              <w:rPr>
                <w:rFonts w:hint="eastAsia" w:ascii="仿宋" w:hAnsi="仿宋" w:eastAsia="仿宋" w:cstheme="minorBidi"/>
                <w:bCs/>
                <w:kern w:val="2"/>
                <w:sz w:val="21"/>
                <w:szCs w:val="21"/>
                <w:lang w:val="en-US" w:eastAsia="zh-CN" w:bidi="ar-SA"/>
              </w:rPr>
            </w:pPr>
          </w:p>
        </w:tc>
        <w:tc>
          <w:tcPr>
            <w:tcW w:w="962" w:type="dxa"/>
            <w:noWrap w:val="0"/>
            <w:vAlign w:val="center"/>
          </w:tcPr>
          <w:p>
            <w:pPr>
              <w:widowControl/>
              <w:spacing w:line="460" w:lineRule="exact"/>
              <w:jc w:val="left"/>
              <w:rPr>
                <w:rFonts w:hint="eastAsia" w:ascii="仿宋" w:hAnsi="仿宋" w:eastAsia="仿宋" w:cstheme="minorBidi"/>
                <w:bCs/>
                <w:kern w:val="2"/>
                <w:sz w:val="21"/>
                <w:szCs w:val="21"/>
                <w:lang w:val="en-US" w:eastAsia="zh-CN" w:bidi="ar-SA"/>
              </w:rPr>
            </w:pPr>
          </w:p>
        </w:tc>
        <w:tc>
          <w:tcPr>
            <w:tcW w:w="1064" w:type="dxa"/>
            <w:noWrap w:val="0"/>
            <w:vAlign w:val="center"/>
          </w:tcPr>
          <w:p>
            <w:pPr>
              <w:widowControl/>
              <w:spacing w:line="460" w:lineRule="exact"/>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8" w:hRule="atLeast"/>
          <w:jc w:val="center"/>
        </w:trPr>
        <w:tc>
          <w:tcPr>
            <w:tcW w:w="516" w:type="dxa"/>
            <w:vMerge w:val="continue"/>
            <w:noWrap w:val="0"/>
            <w:vAlign w:val="center"/>
          </w:tcPr>
          <w:p>
            <w:pPr>
              <w:pStyle w:val="16"/>
              <w:kinsoku w:val="0"/>
              <w:overflowPunct w:val="0"/>
              <w:spacing w:line="460" w:lineRule="exact"/>
              <w:jc w:val="center"/>
              <w:rPr>
                <w:rFonts w:hint="eastAsia" w:ascii="仿宋" w:hAnsi="仿宋" w:eastAsia="仿宋" w:cstheme="minorBidi"/>
                <w:bCs/>
                <w:kern w:val="2"/>
                <w:sz w:val="21"/>
                <w:szCs w:val="21"/>
                <w:lang w:val="en-US" w:eastAsia="zh-CN" w:bidi="ar-SA"/>
              </w:rPr>
            </w:pPr>
          </w:p>
        </w:tc>
        <w:tc>
          <w:tcPr>
            <w:tcW w:w="1050" w:type="dxa"/>
            <w:vMerge w:val="continue"/>
            <w:noWrap w:val="0"/>
            <w:vAlign w:val="center"/>
          </w:tcPr>
          <w:p>
            <w:pPr>
              <w:pStyle w:val="16"/>
              <w:kinsoku w:val="0"/>
              <w:overflowPunct w:val="0"/>
              <w:spacing w:line="460" w:lineRule="exact"/>
              <w:jc w:val="center"/>
              <w:rPr>
                <w:rFonts w:hint="eastAsia" w:ascii="仿宋" w:hAnsi="仿宋" w:eastAsia="仿宋" w:cstheme="minorBidi"/>
                <w:bCs/>
                <w:kern w:val="2"/>
                <w:sz w:val="21"/>
                <w:szCs w:val="21"/>
                <w:lang w:val="en-US" w:eastAsia="zh-CN" w:bidi="ar-SA"/>
              </w:rPr>
            </w:pPr>
          </w:p>
        </w:tc>
        <w:tc>
          <w:tcPr>
            <w:tcW w:w="4537" w:type="dxa"/>
            <w:noWrap w:val="0"/>
            <w:vAlign w:val="center"/>
          </w:tcPr>
          <w:p>
            <w:pPr>
              <w:widowControl/>
              <w:spacing w:line="400" w:lineRule="exac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医嘱内容：</w:t>
            </w:r>
          </w:p>
          <w:p>
            <w:pPr>
              <w:widowControl/>
              <w:spacing w:line="400" w:lineRule="exact"/>
              <w:ind w:right="800"/>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提供医嘱内容浏览和项目检索功能。应至少包括：</w:t>
            </w:r>
            <w:r>
              <w:rPr>
                <w:rFonts w:hint="eastAsia" w:ascii="仿宋" w:hAnsi="仿宋" w:eastAsia="仿宋" w:cstheme="minorBidi"/>
                <w:bCs/>
                <w:kern w:val="2"/>
                <w:sz w:val="21"/>
                <w:szCs w:val="21"/>
                <w:lang w:val="en-US" w:eastAsia="zh-Hans" w:bidi="ar-SA"/>
              </w:rPr>
              <w:t>药</w:t>
            </w:r>
            <w:r>
              <w:rPr>
                <w:rFonts w:hint="eastAsia" w:ascii="仿宋" w:hAnsi="仿宋" w:eastAsia="仿宋" w:cstheme="minorBidi"/>
                <w:bCs/>
                <w:kern w:val="2"/>
                <w:sz w:val="21"/>
                <w:szCs w:val="21"/>
                <w:lang w:val="en-US" w:eastAsia="zh-CN" w:bidi="ar-SA"/>
              </w:rPr>
              <w:t>品、检查、检验等，其中药品应展示给药途径和给药剂量。</w:t>
            </w:r>
          </w:p>
        </w:tc>
        <w:tc>
          <w:tcPr>
            <w:tcW w:w="800" w:type="dxa"/>
            <w:noWrap w:val="0"/>
            <w:vAlign w:val="center"/>
          </w:tcPr>
          <w:p>
            <w:pPr>
              <w:widowControl/>
              <w:spacing w:line="400" w:lineRule="exact"/>
              <w:ind w:right="800"/>
              <w:rPr>
                <w:rFonts w:hint="eastAsia" w:ascii="仿宋" w:hAnsi="仿宋" w:eastAsia="仿宋" w:cstheme="minorBidi"/>
                <w:bCs/>
                <w:kern w:val="2"/>
                <w:sz w:val="21"/>
                <w:szCs w:val="21"/>
                <w:lang w:val="en-US" w:eastAsia="zh-CN" w:bidi="ar-SA"/>
              </w:rPr>
            </w:pPr>
          </w:p>
        </w:tc>
        <w:tc>
          <w:tcPr>
            <w:tcW w:w="888" w:type="dxa"/>
            <w:noWrap w:val="0"/>
            <w:vAlign w:val="center"/>
          </w:tcPr>
          <w:p>
            <w:pPr>
              <w:widowControl/>
              <w:spacing w:line="400" w:lineRule="exact"/>
              <w:ind w:right="800"/>
              <w:rPr>
                <w:rFonts w:hint="eastAsia" w:ascii="仿宋" w:hAnsi="仿宋" w:eastAsia="仿宋" w:cstheme="minorBidi"/>
                <w:bCs/>
                <w:kern w:val="2"/>
                <w:sz w:val="21"/>
                <w:szCs w:val="21"/>
                <w:lang w:val="en-US" w:eastAsia="zh-CN" w:bidi="ar-SA"/>
              </w:rPr>
            </w:pPr>
          </w:p>
        </w:tc>
        <w:tc>
          <w:tcPr>
            <w:tcW w:w="962" w:type="dxa"/>
            <w:noWrap w:val="0"/>
            <w:vAlign w:val="center"/>
          </w:tcPr>
          <w:p>
            <w:pPr>
              <w:widowControl/>
              <w:spacing w:line="400" w:lineRule="exact"/>
              <w:ind w:right="800"/>
              <w:rPr>
                <w:rFonts w:hint="eastAsia" w:ascii="仿宋" w:hAnsi="仿宋" w:eastAsia="仿宋" w:cstheme="minorBidi"/>
                <w:bCs/>
                <w:kern w:val="2"/>
                <w:sz w:val="21"/>
                <w:szCs w:val="21"/>
                <w:lang w:val="en-US" w:eastAsia="zh-CN" w:bidi="ar-SA"/>
              </w:rPr>
            </w:pPr>
          </w:p>
        </w:tc>
        <w:tc>
          <w:tcPr>
            <w:tcW w:w="1064" w:type="dxa"/>
            <w:noWrap w:val="0"/>
            <w:vAlign w:val="center"/>
          </w:tcPr>
          <w:p>
            <w:pPr>
              <w:widowControl/>
              <w:spacing w:line="400" w:lineRule="exact"/>
              <w:ind w:right="800"/>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6" w:type="dxa"/>
            <w:vMerge w:val="continue"/>
            <w:noWrap w:val="0"/>
            <w:vAlign w:val="center"/>
          </w:tcPr>
          <w:p>
            <w:pPr>
              <w:pStyle w:val="16"/>
              <w:kinsoku w:val="0"/>
              <w:overflowPunct w:val="0"/>
              <w:spacing w:line="460" w:lineRule="exact"/>
              <w:jc w:val="center"/>
              <w:rPr>
                <w:rFonts w:hint="eastAsia" w:ascii="仿宋" w:hAnsi="仿宋" w:eastAsia="仿宋" w:cstheme="minorBidi"/>
                <w:bCs/>
                <w:kern w:val="2"/>
                <w:sz w:val="21"/>
                <w:szCs w:val="21"/>
                <w:lang w:val="en-US" w:eastAsia="zh-CN" w:bidi="ar-SA"/>
              </w:rPr>
            </w:pPr>
          </w:p>
        </w:tc>
        <w:tc>
          <w:tcPr>
            <w:tcW w:w="1050" w:type="dxa"/>
            <w:vMerge w:val="continue"/>
            <w:noWrap w:val="0"/>
            <w:vAlign w:val="center"/>
          </w:tcPr>
          <w:p>
            <w:pPr>
              <w:pStyle w:val="16"/>
              <w:kinsoku w:val="0"/>
              <w:overflowPunct w:val="0"/>
              <w:spacing w:line="460" w:lineRule="exact"/>
              <w:jc w:val="center"/>
              <w:rPr>
                <w:rFonts w:hint="eastAsia" w:ascii="仿宋" w:hAnsi="仿宋" w:eastAsia="仿宋" w:cstheme="minorBidi"/>
                <w:bCs/>
                <w:kern w:val="2"/>
                <w:sz w:val="21"/>
                <w:szCs w:val="21"/>
                <w:lang w:val="en-US" w:eastAsia="zh-CN" w:bidi="ar-SA"/>
              </w:rPr>
            </w:pPr>
          </w:p>
        </w:tc>
        <w:tc>
          <w:tcPr>
            <w:tcW w:w="4537" w:type="dxa"/>
            <w:noWrap w:val="0"/>
            <w:vAlign w:val="center"/>
          </w:tcPr>
          <w:p>
            <w:pPr>
              <w:widowControl/>
              <w:spacing w:line="400" w:lineRule="exact"/>
              <w:ind w:right="800"/>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检查/检验：</w:t>
            </w:r>
          </w:p>
          <w:p>
            <w:pPr>
              <w:widowControl/>
              <w:spacing w:line="400" w:lineRule="exac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提供检查/检验结果浏览功能，重点标记检验异常项目。</w:t>
            </w:r>
          </w:p>
        </w:tc>
        <w:tc>
          <w:tcPr>
            <w:tcW w:w="800" w:type="dxa"/>
            <w:noWrap w:val="0"/>
            <w:vAlign w:val="center"/>
          </w:tcPr>
          <w:p>
            <w:pPr>
              <w:widowControl/>
              <w:spacing w:line="400" w:lineRule="exact"/>
              <w:rPr>
                <w:rFonts w:hint="eastAsia" w:ascii="仿宋" w:hAnsi="仿宋" w:eastAsia="仿宋" w:cstheme="minorBidi"/>
                <w:bCs/>
                <w:kern w:val="2"/>
                <w:sz w:val="21"/>
                <w:szCs w:val="21"/>
                <w:lang w:val="en-US" w:eastAsia="zh-CN" w:bidi="ar-SA"/>
              </w:rPr>
            </w:pPr>
          </w:p>
        </w:tc>
        <w:tc>
          <w:tcPr>
            <w:tcW w:w="888" w:type="dxa"/>
            <w:noWrap w:val="0"/>
            <w:vAlign w:val="center"/>
          </w:tcPr>
          <w:p>
            <w:pPr>
              <w:widowControl/>
              <w:spacing w:line="400" w:lineRule="exact"/>
              <w:rPr>
                <w:rFonts w:hint="eastAsia" w:ascii="仿宋" w:hAnsi="仿宋" w:eastAsia="仿宋" w:cstheme="minorBidi"/>
                <w:bCs/>
                <w:kern w:val="2"/>
                <w:sz w:val="21"/>
                <w:szCs w:val="21"/>
                <w:lang w:val="en-US" w:eastAsia="zh-CN" w:bidi="ar-SA"/>
              </w:rPr>
            </w:pPr>
          </w:p>
        </w:tc>
        <w:tc>
          <w:tcPr>
            <w:tcW w:w="962" w:type="dxa"/>
            <w:noWrap w:val="0"/>
            <w:vAlign w:val="center"/>
          </w:tcPr>
          <w:p>
            <w:pPr>
              <w:widowControl/>
              <w:spacing w:line="400" w:lineRule="exact"/>
              <w:rPr>
                <w:rFonts w:hint="eastAsia" w:ascii="仿宋" w:hAnsi="仿宋" w:eastAsia="仿宋" w:cstheme="minorBidi"/>
                <w:bCs/>
                <w:kern w:val="2"/>
                <w:sz w:val="21"/>
                <w:szCs w:val="21"/>
                <w:lang w:val="en-US" w:eastAsia="zh-CN" w:bidi="ar-SA"/>
              </w:rPr>
            </w:pPr>
          </w:p>
        </w:tc>
        <w:tc>
          <w:tcPr>
            <w:tcW w:w="1064" w:type="dxa"/>
            <w:noWrap w:val="0"/>
            <w:vAlign w:val="center"/>
          </w:tcPr>
          <w:p>
            <w:pPr>
              <w:widowControl/>
              <w:spacing w:line="400" w:lineRule="exac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6" w:type="dxa"/>
            <w:vMerge w:val="continue"/>
            <w:noWrap w:val="0"/>
            <w:vAlign w:val="center"/>
          </w:tcPr>
          <w:p>
            <w:pPr>
              <w:pStyle w:val="16"/>
              <w:kinsoku w:val="0"/>
              <w:overflowPunct w:val="0"/>
              <w:spacing w:line="460" w:lineRule="exact"/>
              <w:jc w:val="center"/>
              <w:rPr>
                <w:rFonts w:hint="eastAsia" w:ascii="仿宋" w:hAnsi="仿宋" w:eastAsia="仿宋" w:cstheme="minorBidi"/>
                <w:bCs/>
                <w:kern w:val="2"/>
                <w:sz w:val="21"/>
                <w:szCs w:val="21"/>
                <w:lang w:val="en-US" w:eastAsia="zh-CN" w:bidi="ar-SA"/>
              </w:rPr>
            </w:pPr>
          </w:p>
        </w:tc>
        <w:tc>
          <w:tcPr>
            <w:tcW w:w="1050" w:type="dxa"/>
            <w:vMerge w:val="continue"/>
            <w:noWrap w:val="0"/>
            <w:vAlign w:val="center"/>
          </w:tcPr>
          <w:p>
            <w:pPr>
              <w:pStyle w:val="16"/>
              <w:kinsoku w:val="0"/>
              <w:overflowPunct w:val="0"/>
              <w:spacing w:line="460" w:lineRule="exact"/>
              <w:jc w:val="center"/>
              <w:rPr>
                <w:rFonts w:hint="eastAsia" w:ascii="仿宋" w:hAnsi="仿宋" w:eastAsia="仿宋" w:cstheme="minorBidi"/>
                <w:bCs/>
                <w:kern w:val="2"/>
                <w:sz w:val="21"/>
                <w:szCs w:val="21"/>
                <w:lang w:val="en-US" w:eastAsia="zh-CN" w:bidi="ar-SA"/>
              </w:rPr>
            </w:pPr>
          </w:p>
        </w:tc>
        <w:tc>
          <w:tcPr>
            <w:tcW w:w="4537" w:type="dxa"/>
            <w:noWrap w:val="0"/>
            <w:vAlign w:val="center"/>
          </w:tcPr>
          <w:p>
            <w:pPr>
              <w:widowControl/>
              <w:spacing w:line="400" w:lineRule="exact"/>
              <w:ind w:right="800"/>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患者信息：</w:t>
            </w:r>
          </w:p>
          <w:p>
            <w:pPr>
              <w:widowControl/>
              <w:spacing w:line="400" w:lineRule="exact"/>
              <w:ind w:right="800"/>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提供患者</w:t>
            </w:r>
            <w:r>
              <w:rPr>
                <w:rFonts w:hint="eastAsia" w:ascii="仿宋" w:hAnsi="仿宋" w:eastAsia="仿宋" w:cstheme="minorBidi"/>
                <w:bCs/>
                <w:kern w:val="2"/>
                <w:sz w:val="21"/>
                <w:szCs w:val="21"/>
                <w:lang w:val="en-US" w:eastAsia="zh-Hans" w:bidi="ar-SA"/>
              </w:rPr>
              <w:t>门诊</w:t>
            </w:r>
            <w:r>
              <w:rPr>
                <w:rFonts w:hint="eastAsia" w:ascii="仿宋" w:hAnsi="仿宋" w:eastAsia="仿宋" w:cstheme="minorBidi"/>
                <w:bCs/>
                <w:kern w:val="2"/>
                <w:sz w:val="21"/>
                <w:szCs w:val="21"/>
                <w:lang w:val="en-US" w:eastAsia="zh-CN" w:bidi="ar-SA"/>
              </w:rPr>
              <w:t>基本信息浏览功能。</w:t>
            </w:r>
          </w:p>
        </w:tc>
        <w:tc>
          <w:tcPr>
            <w:tcW w:w="800" w:type="dxa"/>
            <w:noWrap w:val="0"/>
            <w:vAlign w:val="center"/>
          </w:tcPr>
          <w:p>
            <w:pPr>
              <w:widowControl/>
              <w:spacing w:line="400" w:lineRule="exact"/>
              <w:ind w:right="800"/>
              <w:rPr>
                <w:rFonts w:hint="eastAsia" w:ascii="仿宋" w:hAnsi="仿宋" w:eastAsia="仿宋" w:cstheme="minorBidi"/>
                <w:bCs/>
                <w:kern w:val="2"/>
                <w:sz w:val="21"/>
                <w:szCs w:val="21"/>
                <w:lang w:val="en-US" w:eastAsia="zh-CN" w:bidi="ar-SA"/>
              </w:rPr>
            </w:pPr>
          </w:p>
        </w:tc>
        <w:tc>
          <w:tcPr>
            <w:tcW w:w="888" w:type="dxa"/>
            <w:noWrap w:val="0"/>
            <w:vAlign w:val="center"/>
          </w:tcPr>
          <w:p>
            <w:pPr>
              <w:widowControl/>
              <w:spacing w:line="400" w:lineRule="exact"/>
              <w:ind w:right="800"/>
              <w:rPr>
                <w:rFonts w:hint="eastAsia" w:ascii="仿宋" w:hAnsi="仿宋" w:eastAsia="仿宋" w:cstheme="minorBidi"/>
                <w:bCs/>
                <w:kern w:val="2"/>
                <w:sz w:val="21"/>
                <w:szCs w:val="21"/>
                <w:lang w:val="en-US" w:eastAsia="zh-CN" w:bidi="ar-SA"/>
              </w:rPr>
            </w:pPr>
          </w:p>
        </w:tc>
        <w:tc>
          <w:tcPr>
            <w:tcW w:w="962" w:type="dxa"/>
            <w:noWrap w:val="0"/>
            <w:vAlign w:val="center"/>
          </w:tcPr>
          <w:p>
            <w:pPr>
              <w:widowControl/>
              <w:spacing w:line="400" w:lineRule="exact"/>
              <w:ind w:right="800"/>
              <w:rPr>
                <w:rFonts w:hint="eastAsia" w:ascii="仿宋" w:hAnsi="仿宋" w:eastAsia="仿宋" w:cstheme="minorBidi"/>
                <w:bCs/>
                <w:kern w:val="2"/>
                <w:sz w:val="21"/>
                <w:szCs w:val="21"/>
                <w:lang w:val="en-US" w:eastAsia="zh-CN" w:bidi="ar-SA"/>
              </w:rPr>
            </w:pPr>
          </w:p>
        </w:tc>
        <w:tc>
          <w:tcPr>
            <w:tcW w:w="1064" w:type="dxa"/>
            <w:noWrap w:val="0"/>
            <w:vAlign w:val="center"/>
          </w:tcPr>
          <w:p>
            <w:pPr>
              <w:widowControl/>
              <w:spacing w:line="400" w:lineRule="exact"/>
              <w:ind w:right="800"/>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6" w:type="dxa"/>
            <w:vMerge w:val="continue"/>
            <w:noWrap w:val="0"/>
            <w:vAlign w:val="center"/>
          </w:tcPr>
          <w:p>
            <w:pPr>
              <w:pStyle w:val="16"/>
              <w:kinsoku w:val="0"/>
              <w:overflowPunct w:val="0"/>
              <w:spacing w:line="460" w:lineRule="exact"/>
              <w:jc w:val="center"/>
              <w:rPr>
                <w:rFonts w:hint="eastAsia" w:ascii="仿宋" w:hAnsi="仿宋" w:eastAsia="仿宋" w:cstheme="minorBidi"/>
                <w:bCs/>
                <w:kern w:val="2"/>
                <w:sz w:val="21"/>
                <w:szCs w:val="21"/>
                <w:lang w:val="en-US" w:eastAsia="zh-CN" w:bidi="ar-SA"/>
              </w:rPr>
            </w:pPr>
          </w:p>
        </w:tc>
        <w:tc>
          <w:tcPr>
            <w:tcW w:w="1050" w:type="dxa"/>
            <w:vMerge w:val="continue"/>
            <w:noWrap w:val="0"/>
            <w:vAlign w:val="center"/>
          </w:tcPr>
          <w:p>
            <w:pPr>
              <w:pStyle w:val="16"/>
              <w:kinsoku w:val="0"/>
              <w:overflowPunct w:val="0"/>
              <w:spacing w:line="460" w:lineRule="exact"/>
              <w:jc w:val="center"/>
              <w:rPr>
                <w:rFonts w:hint="eastAsia" w:ascii="仿宋" w:hAnsi="仿宋" w:eastAsia="仿宋" w:cstheme="minorBidi"/>
                <w:bCs/>
                <w:kern w:val="2"/>
                <w:sz w:val="21"/>
                <w:szCs w:val="21"/>
                <w:lang w:val="en-US" w:eastAsia="zh-CN" w:bidi="ar-SA"/>
              </w:rPr>
            </w:pPr>
          </w:p>
        </w:tc>
        <w:tc>
          <w:tcPr>
            <w:tcW w:w="4537" w:type="dxa"/>
            <w:noWrap w:val="0"/>
            <w:vAlign w:val="center"/>
          </w:tcPr>
          <w:p>
            <w:pPr>
              <w:widowControl/>
              <w:spacing w:line="400" w:lineRule="exact"/>
              <w:ind w:right="800"/>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诊断信息：</w:t>
            </w:r>
          </w:p>
          <w:p>
            <w:pPr>
              <w:widowControl/>
              <w:spacing w:line="400" w:lineRule="exact"/>
              <w:ind w:right="800"/>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提供患者的诊断信息查询。</w:t>
            </w:r>
          </w:p>
        </w:tc>
        <w:tc>
          <w:tcPr>
            <w:tcW w:w="800" w:type="dxa"/>
            <w:noWrap w:val="0"/>
            <w:vAlign w:val="center"/>
          </w:tcPr>
          <w:p>
            <w:pPr>
              <w:widowControl/>
              <w:spacing w:line="400" w:lineRule="exact"/>
              <w:ind w:right="800"/>
              <w:rPr>
                <w:rFonts w:hint="eastAsia" w:ascii="仿宋" w:hAnsi="仿宋" w:eastAsia="仿宋" w:cstheme="minorBidi"/>
                <w:bCs/>
                <w:kern w:val="2"/>
                <w:sz w:val="21"/>
                <w:szCs w:val="21"/>
                <w:lang w:val="en-US" w:eastAsia="zh-CN" w:bidi="ar-SA"/>
              </w:rPr>
            </w:pPr>
          </w:p>
        </w:tc>
        <w:tc>
          <w:tcPr>
            <w:tcW w:w="888" w:type="dxa"/>
            <w:noWrap w:val="0"/>
            <w:vAlign w:val="center"/>
          </w:tcPr>
          <w:p>
            <w:pPr>
              <w:widowControl/>
              <w:spacing w:line="400" w:lineRule="exact"/>
              <w:ind w:right="800"/>
              <w:rPr>
                <w:rFonts w:hint="eastAsia" w:ascii="仿宋" w:hAnsi="仿宋" w:eastAsia="仿宋" w:cstheme="minorBidi"/>
                <w:bCs/>
                <w:kern w:val="2"/>
                <w:sz w:val="21"/>
                <w:szCs w:val="21"/>
                <w:lang w:val="en-US" w:eastAsia="zh-CN" w:bidi="ar-SA"/>
              </w:rPr>
            </w:pPr>
          </w:p>
        </w:tc>
        <w:tc>
          <w:tcPr>
            <w:tcW w:w="962" w:type="dxa"/>
            <w:noWrap w:val="0"/>
            <w:vAlign w:val="center"/>
          </w:tcPr>
          <w:p>
            <w:pPr>
              <w:widowControl/>
              <w:spacing w:line="400" w:lineRule="exact"/>
              <w:ind w:right="800"/>
              <w:rPr>
                <w:rFonts w:hint="eastAsia" w:ascii="仿宋" w:hAnsi="仿宋" w:eastAsia="仿宋" w:cstheme="minorBidi"/>
                <w:bCs/>
                <w:kern w:val="2"/>
                <w:sz w:val="21"/>
                <w:szCs w:val="21"/>
                <w:lang w:val="en-US" w:eastAsia="zh-CN" w:bidi="ar-SA"/>
              </w:rPr>
            </w:pPr>
          </w:p>
        </w:tc>
        <w:tc>
          <w:tcPr>
            <w:tcW w:w="1064" w:type="dxa"/>
            <w:noWrap w:val="0"/>
            <w:vAlign w:val="center"/>
          </w:tcPr>
          <w:p>
            <w:pPr>
              <w:widowControl/>
              <w:spacing w:line="400" w:lineRule="exact"/>
              <w:ind w:right="800"/>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6" w:type="dxa"/>
            <w:vMerge w:val="continue"/>
            <w:noWrap w:val="0"/>
            <w:vAlign w:val="center"/>
          </w:tcPr>
          <w:p>
            <w:pPr>
              <w:pStyle w:val="16"/>
              <w:kinsoku w:val="0"/>
              <w:overflowPunct w:val="0"/>
              <w:spacing w:line="460" w:lineRule="exact"/>
              <w:jc w:val="center"/>
              <w:rPr>
                <w:rFonts w:hint="eastAsia" w:ascii="仿宋" w:hAnsi="仿宋" w:eastAsia="仿宋" w:cstheme="minorBidi"/>
                <w:bCs/>
                <w:kern w:val="2"/>
                <w:sz w:val="21"/>
                <w:szCs w:val="21"/>
                <w:lang w:val="en-US" w:eastAsia="zh-CN" w:bidi="ar-SA"/>
              </w:rPr>
            </w:pPr>
          </w:p>
        </w:tc>
        <w:tc>
          <w:tcPr>
            <w:tcW w:w="1050" w:type="dxa"/>
            <w:noWrap w:val="0"/>
            <w:vAlign w:val="center"/>
          </w:tcPr>
          <w:p>
            <w:pPr>
              <w:pStyle w:val="16"/>
              <w:kinsoku w:val="0"/>
              <w:overflowPunct w:val="0"/>
              <w:spacing w:line="46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Hans" w:bidi="ar-SA"/>
              </w:rPr>
              <w:t>门诊</w:t>
            </w:r>
            <w:r>
              <w:rPr>
                <w:rFonts w:hint="eastAsia" w:ascii="仿宋" w:hAnsi="仿宋" w:eastAsia="仿宋" w:cstheme="minorBidi"/>
                <w:bCs/>
                <w:kern w:val="2"/>
                <w:sz w:val="21"/>
                <w:szCs w:val="21"/>
                <w:lang w:val="en-US" w:eastAsia="zh-CN" w:bidi="ar-SA"/>
              </w:rPr>
              <w:t>病历</w:t>
            </w:r>
            <w:r>
              <w:rPr>
                <w:rFonts w:hint="eastAsia" w:ascii="仿宋" w:hAnsi="仿宋" w:eastAsia="仿宋" w:cstheme="minorBidi"/>
                <w:bCs/>
                <w:kern w:val="2"/>
                <w:sz w:val="21"/>
                <w:szCs w:val="21"/>
                <w:lang w:val="en-US" w:eastAsia="zh-Hans" w:bidi="ar-SA"/>
              </w:rPr>
              <w:t>形式</w:t>
            </w:r>
            <w:r>
              <w:rPr>
                <w:rFonts w:hint="eastAsia" w:ascii="仿宋" w:hAnsi="仿宋" w:eastAsia="仿宋" w:cstheme="minorBidi"/>
                <w:bCs/>
                <w:kern w:val="2"/>
                <w:sz w:val="21"/>
                <w:szCs w:val="21"/>
                <w:lang w:val="en-US" w:eastAsia="zh-CN" w:bidi="ar-SA"/>
              </w:rPr>
              <w:t>质控</w:t>
            </w:r>
          </w:p>
        </w:tc>
        <w:tc>
          <w:tcPr>
            <w:tcW w:w="4537" w:type="dxa"/>
            <w:noWrap w:val="0"/>
            <w:vAlign w:val="center"/>
          </w:tcPr>
          <w:p>
            <w:pPr>
              <w:pStyle w:val="17"/>
              <w:spacing w:before="0" w:after="0" w:line="400" w:lineRule="exac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病历筛查：</w:t>
            </w:r>
          </w:p>
          <w:p>
            <w:pPr>
              <w:widowControl/>
              <w:spacing w:line="400" w:lineRule="exact"/>
              <w:ind w:right="800"/>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按科室/病区、病历号、患者姓名、</w:t>
            </w:r>
            <w:r>
              <w:rPr>
                <w:rFonts w:hint="eastAsia" w:ascii="仿宋" w:hAnsi="仿宋" w:eastAsia="仿宋" w:cstheme="minorBidi"/>
                <w:bCs/>
                <w:kern w:val="2"/>
                <w:sz w:val="21"/>
                <w:szCs w:val="21"/>
                <w:lang w:val="en-US" w:eastAsia="zh-Hans" w:bidi="ar-SA"/>
              </w:rPr>
              <w:t>就诊</w:t>
            </w:r>
            <w:r>
              <w:rPr>
                <w:rFonts w:hint="eastAsia" w:ascii="仿宋" w:hAnsi="仿宋" w:eastAsia="仿宋" w:cstheme="minorBidi"/>
                <w:bCs/>
                <w:kern w:val="2"/>
                <w:sz w:val="21"/>
                <w:szCs w:val="21"/>
                <w:lang w:val="en-US" w:eastAsia="zh-CN" w:bidi="ar-SA"/>
              </w:rPr>
              <w:t>日期、</w:t>
            </w:r>
            <w:r>
              <w:rPr>
                <w:rFonts w:hint="eastAsia" w:ascii="仿宋" w:hAnsi="仿宋" w:eastAsia="仿宋" w:cstheme="minorBidi"/>
                <w:bCs/>
                <w:kern w:val="2"/>
                <w:sz w:val="21"/>
                <w:szCs w:val="21"/>
                <w:lang w:val="en-US" w:eastAsia="zh-Hans" w:bidi="ar-SA"/>
              </w:rPr>
              <w:t>门诊</w:t>
            </w:r>
            <w:r>
              <w:rPr>
                <w:rFonts w:hint="eastAsia" w:ascii="仿宋" w:hAnsi="仿宋" w:eastAsia="仿宋" w:cstheme="minorBidi"/>
                <w:bCs/>
                <w:kern w:val="2"/>
                <w:sz w:val="21"/>
                <w:szCs w:val="21"/>
                <w:lang w:val="en-US" w:eastAsia="zh-CN" w:bidi="ar-SA"/>
              </w:rPr>
              <w:t>医生等基本条件查询患者。</w:t>
            </w:r>
          </w:p>
        </w:tc>
        <w:tc>
          <w:tcPr>
            <w:tcW w:w="800" w:type="dxa"/>
            <w:noWrap w:val="0"/>
            <w:vAlign w:val="center"/>
          </w:tcPr>
          <w:p>
            <w:pPr>
              <w:widowControl/>
              <w:spacing w:line="400" w:lineRule="exact"/>
              <w:ind w:right="800"/>
              <w:rPr>
                <w:rFonts w:hint="eastAsia" w:ascii="仿宋" w:hAnsi="仿宋" w:eastAsia="仿宋" w:cstheme="minorBidi"/>
                <w:bCs/>
                <w:kern w:val="2"/>
                <w:sz w:val="21"/>
                <w:szCs w:val="21"/>
                <w:lang w:val="en-US" w:eastAsia="zh-CN" w:bidi="ar-SA"/>
              </w:rPr>
            </w:pPr>
          </w:p>
        </w:tc>
        <w:tc>
          <w:tcPr>
            <w:tcW w:w="888" w:type="dxa"/>
            <w:noWrap w:val="0"/>
            <w:vAlign w:val="center"/>
          </w:tcPr>
          <w:p>
            <w:pPr>
              <w:widowControl/>
              <w:spacing w:line="400" w:lineRule="exact"/>
              <w:ind w:right="800"/>
              <w:rPr>
                <w:rFonts w:hint="eastAsia" w:ascii="仿宋" w:hAnsi="仿宋" w:eastAsia="仿宋" w:cstheme="minorBidi"/>
                <w:bCs/>
                <w:kern w:val="2"/>
                <w:sz w:val="21"/>
                <w:szCs w:val="21"/>
                <w:lang w:val="en-US" w:eastAsia="zh-CN" w:bidi="ar-SA"/>
              </w:rPr>
            </w:pPr>
          </w:p>
        </w:tc>
        <w:tc>
          <w:tcPr>
            <w:tcW w:w="962" w:type="dxa"/>
            <w:noWrap w:val="0"/>
            <w:vAlign w:val="center"/>
          </w:tcPr>
          <w:p>
            <w:pPr>
              <w:widowControl/>
              <w:spacing w:line="400" w:lineRule="exact"/>
              <w:ind w:right="800"/>
              <w:rPr>
                <w:rFonts w:hint="eastAsia" w:ascii="仿宋" w:hAnsi="仿宋" w:eastAsia="仿宋" w:cstheme="minorBidi"/>
                <w:bCs/>
                <w:kern w:val="2"/>
                <w:sz w:val="21"/>
                <w:szCs w:val="21"/>
                <w:lang w:val="en-US" w:eastAsia="zh-CN" w:bidi="ar-SA"/>
              </w:rPr>
            </w:pPr>
          </w:p>
        </w:tc>
        <w:tc>
          <w:tcPr>
            <w:tcW w:w="1064" w:type="dxa"/>
            <w:noWrap w:val="0"/>
            <w:vAlign w:val="center"/>
          </w:tcPr>
          <w:p>
            <w:pPr>
              <w:widowControl/>
              <w:spacing w:line="400" w:lineRule="exact"/>
              <w:ind w:right="800"/>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6" w:type="dxa"/>
            <w:vMerge w:val="continue"/>
            <w:noWrap w:val="0"/>
            <w:vAlign w:val="center"/>
          </w:tcPr>
          <w:p>
            <w:pPr>
              <w:pStyle w:val="16"/>
              <w:kinsoku w:val="0"/>
              <w:overflowPunct w:val="0"/>
              <w:spacing w:line="460" w:lineRule="exact"/>
              <w:jc w:val="center"/>
              <w:rPr>
                <w:rFonts w:hint="eastAsia" w:ascii="仿宋" w:hAnsi="仿宋" w:eastAsia="仿宋" w:cstheme="minorBidi"/>
                <w:bCs/>
                <w:kern w:val="2"/>
                <w:sz w:val="21"/>
                <w:szCs w:val="21"/>
                <w:lang w:val="en-US" w:eastAsia="zh-CN" w:bidi="ar-SA"/>
              </w:rPr>
            </w:pPr>
          </w:p>
        </w:tc>
        <w:tc>
          <w:tcPr>
            <w:tcW w:w="1050" w:type="dxa"/>
            <w:vMerge w:val="restart"/>
            <w:noWrap w:val="0"/>
            <w:vAlign w:val="center"/>
          </w:tcPr>
          <w:p>
            <w:pPr>
              <w:pStyle w:val="16"/>
              <w:kinsoku w:val="0"/>
              <w:overflowPunct w:val="0"/>
              <w:spacing w:line="46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病历质量统计</w:t>
            </w:r>
          </w:p>
        </w:tc>
        <w:tc>
          <w:tcPr>
            <w:tcW w:w="4537" w:type="dxa"/>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按问题类型统计，提供按问题类型统计功能。可根据科室名称和</w:t>
            </w:r>
            <w:r>
              <w:rPr>
                <w:rFonts w:hint="eastAsia" w:ascii="仿宋" w:hAnsi="仿宋" w:eastAsia="仿宋" w:cstheme="minorBidi"/>
                <w:bCs/>
                <w:kern w:val="2"/>
                <w:sz w:val="21"/>
                <w:szCs w:val="21"/>
                <w:lang w:val="en-US" w:eastAsia="zh-Hans" w:bidi="ar-SA"/>
              </w:rPr>
              <w:t>就诊日期</w:t>
            </w:r>
            <w:r>
              <w:rPr>
                <w:rFonts w:hint="eastAsia" w:ascii="仿宋" w:hAnsi="仿宋" w:eastAsia="仿宋" w:cstheme="minorBidi"/>
                <w:bCs/>
                <w:kern w:val="2"/>
                <w:sz w:val="21"/>
                <w:szCs w:val="21"/>
                <w:lang w:val="en-US" w:eastAsia="zh-CN" w:bidi="ar-SA"/>
              </w:rPr>
              <w:t>查询检查问题类型。</w:t>
            </w:r>
          </w:p>
        </w:tc>
        <w:tc>
          <w:tcPr>
            <w:tcW w:w="800" w:type="dxa"/>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c>
          <w:tcPr>
            <w:tcW w:w="888" w:type="dxa"/>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c>
          <w:tcPr>
            <w:tcW w:w="962" w:type="dxa"/>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c>
          <w:tcPr>
            <w:tcW w:w="1064" w:type="dxa"/>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6" w:type="dxa"/>
            <w:vMerge w:val="continue"/>
            <w:noWrap w:val="0"/>
            <w:vAlign w:val="center"/>
          </w:tcPr>
          <w:p>
            <w:pPr>
              <w:pStyle w:val="16"/>
              <w:kinsoku w:val="0"/>
              <w:overflowPunct w:val="0"/>
              <w:spacing w:line="460" w:lineRule="exact"/>
              <w:jc w:val="center"/>
              <w:rPr>
                <w:rFonts w:hint="eastAsia" w:ascii="仿宋" w:hAnsi="仿宋" w:eastAsia="仿宋" w:cstheme="minorBidi"/>
                <w:bCs/>
                <w:kern w:val="2"/>
                <w:sz w:val="21"/>
                <w:szCs w:val="21"/>
                <w:lang w:val="en-US" w:eastAsia="zh-CN" w:bidi="ar-SA"/>
              </w:rPr>
            </w:pPr>
          </w:p>
        </w:tc>
        <w:tc>
          <w:tcPr>
            <w:tcW w:w="1050" w:type="dxa"/>
            <w:vMerge w:val="continue"/>
            <w:noWrap w:val="0"/>
            <w:vAlign w:val="center"/>
          </w:tcPr>
          <w:p>
            <w:pPr>
              <w:pStyle w:val="16"/>
              <w:kinsoku w:val="0"/>
              <w:overflowPunct w:val="0"/>
              <w:spacing w:line="460" w:lineRule="exact"/>
              <w:jc w:val="center"/>
              <w:rPr>
                <w:rFonts w:hint="eastAsia" w:ascii="仿宋" w:hAnsi="仿宋" w:eastAsia="仿宋" w:cstheme="minorBidi"/>
                <w:bCs/>
                <w:kern w:val="2"/>
                <w:sz w:val="21"/>
                <w:szCs w:val="21"/>
                <w:lang w:val="en-US" w:eastAsia="zh-CN" w:bidi="ar-SA"/>
              </w:rPr>
            </w:pPr>
          </w:p>
        </w:tc>
        <w:tc>
          <w:tcPr>
            <w:tcW w:w="4537" w:type="dxa"/>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检查问题清单统计，可根据科室名称和</w:t>
            </w:r>
            <w:r>
              <w:rPr>
                <w:rFonts w:hint="eastAsia" w:ascii="仿宋" w:hAnsi="仿宋" w:eastAsia="仿宋" w:cstheme="minorBidi"/>
                <w:bCs/>
                <w:kern w:val="2"/>
                <w:sz w:val="21"/>
                <w:szCs w:val="21"/>
                <w:lang w:val="en-US" w:eastAsia="zh-Hans" w:bidi="ar-SA"/>
              </w:rPr>
              <w:t>就诊日期</w:t>
            </w:r>
            <w:r>
              <w:rPr>
                <w:rFonts w:hint="eastAsia" w:ascii="仿宋" w:hAnsi="仿宋" w:eastAsia="仿宋" w:cstheme="minorBidi"/>
                <w:bCs/>
                <w:kern w:val="2"/>
                <w:sz w:val="21"/>
                <w:szCs w:val="21"/>
                <w:lang w:val="en-US" w:eastAsia="zh-CN" w:bidi="ar-SA"/>
              </w:rPr>
              <w:t>查询检查问题清单。</w:t>
            </w:r>
          </w:p>
        </w:tc>
        <w:tc>
          <w:tcPr>
            <w:tcW w:w="800" w:type="dxa"/>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c>
          <w:tcPr>
            <w:tcW w:w="888" w:type="dxa"/>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c>
          <w:tcPr>
            <w:tcW w:w="962" w:type="dxa"/>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c>
          <w:tcPr>
            <w:tcW w:w="1064" w:type="dxa"/>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6" w:type="dxa"/>
            <w:vMerge w:val="continue"/>
            <w:noWrap w:val="0"/>
            <w:vAlign w:val="center"/>
          </w:tcPr>
          <w:p>
            <w:pPr>
              <w:pStyle w:val="16"/>
              <w:kinsoku w:val="0"/>
              <w:overflowPunct w:val="0"/>
              <w:spacing w:line="460" w:lineRule="exact"/>
              <w:jc w:val="center"/>
              <w:rPr>
                <w:rFonts w:hint="eastAsia" w:ascii="仿宋" w:hAnsi="仿宋" w:eastAsia="仿宋" w:cstheme="minorBidi"/>
                <w:bCs/>
                <w:kern w:val="2"/>
                <w:sz w:val="21"/>
                <w:szCs w:val="21"/>
                <w:lang w:val="en-US" w:eastAsia="zh-CN" w:bidi="ar-SA"/>
              </w:rPr>
            </w:pPr>
          </w:p>
        </w:tc>
        <w:tc>
          <w:tcPr>
            <w:tcW w:w="1050" w:type="dxa"/>
            <w:vMerge w:val="continue"/>
            <w:noWrap w:val="0"/>
            <w:vAlign w:val="center"/>
          </w:tcPr>
          <w:p>
            <w:pPr>
              <w:pStyle w:val="16"/>
              <w:kinsoku w:val="0"/>
              <w:overflowPunct w:val="0"/>
              <w:spacing w:line="460" w:lineRule="exact"/>
              <w:jc w:val="center"/>
              <w:rPr>
                <w:rFonts w:hint="eastAsia" w:ascii="仿宋" w:hAnsi="仿宋" w:eastAsia="仿宋" w:cstheme="minorBidi"/>
                <w:bCs/>
                <w:kern w:val="2"/>
                <w:sz w:val="21"/>
                <w:szCs w:val="21"/>
                <w:lang w:val="en-US" w:eastAsia="zh-CN" w:bidi="ar-SA"/>
              </w:rPr>
            </w:pPr>
          </w:p>
        </w:tc>
        <w:tc>
          <w:tcPr>
            <w:tcW w:w="4537" w:type="dxa"/>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按科室统计，可根据科室名称统计检查问题清单。</w:t>
            </w:r>
          </w:p>
        </w:tc>
        <w:tc>
          <w:tcPr>
            <w:tcW w:w="800" w:type="dxa"/>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c>
          <w:tcPr>
            <w:tcW w:w="888" w:type="dxa"/>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c>
          <w:tcPr>
            <w:tcW w:w="962" w:type="dxa"/>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c>
          <w:tcPr>
            <w:tcW w:w="1064" w:type="dxa"/>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516" w:type="dxa"/>
            <w:vMerge w:val="continue"/>
            <w:noWrap w:val="0"/>
            <w:vAlign w:val="center"/>
          </w:tcPr>
          <w:p>
            <w:pPr>
              <w:pStyle w:val="16"/>
              <w:kinsoku w:val="0"/>
              <w:overflowPunct w:val="0"/>
              <w:spacing w:line="460" w:lineRule="exact"/>
              <w:jc w:val="center"/>
              <w:rPr>
                <w:rFonts w:hint="eastAsia" w:ascii="仿宋" w:hAnsi="仿宋" w:eastAsia="仿宋" w:cstheme="minorBidi"/>
                <w:bCs/>
                <w:kern w:val="2"/>
                <w:sz w:val="21"/>
                <w:szCs w:val="21"/>
                <w:lang w:val="en-US" w:eastAsia="zh-CN" w:bidi="ar-SA"/>
              </w:rPr>
            </w:pPr>
          </w:p>
        </w:tc>
        <w:tc>
          <w:tcPr>
            <w:tcW w:w="1050" w:type="dxa"/>
            <w:vMerge w:val="continue"/>
            <w:noWrap w:val="0"/>
            <w:vAlign w:val="center"/>
          </w:tcPr>
          <w:p>
            <w:pPr>
              <w:pStyle w:val="16"/>
              <w:kinsoku w:val="0"/>
              <w:overflowPunct w:val="0"/>
              <w:spacing w:line="460" w:lineRule="exact"/>
              <w:jc w:val="center"/>
              <w:rPr>
                <w:rFonts w:hint="eastAsia" w:ascii="仿宋" w:hAnsi="仿宋" w:eastAsia="仿宋" w:cstheme="minorBidi"/>
                <w:bCs/>
                <w:kern w:val="2"/>
                <w:sz w:val="21"/>
                <w:szCs w:val="21"/>
                <w:lang w:val="en-US" w:eastAsia="zh-CN" w:bidi="ar-SA"/>
              </w:rPr>
            </w:pPr>
          </w:p>
        </w:tc>
        <w:tc>
          <w:tcPr>
            <w:tcW w:w="4537" w:type="dxa"/>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按检查者统计，可根据检查者统计他检查的问题条目数。</w:t>
            </w:r>
          </w:p>
        </w:tc>
        <w:tc>
          <w:tcPr>
            <w:tcW w:w="800" w:type="dxa"/>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c>
          <w:tcPr>
            <w:tcW w:w="888" w:type="dxa"/>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c>
          <w:tcPr>
            <w:tcW w:w="962" w:type="dxa"/>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c>
          <w:tcPr>
            <w:tcW w:w="1064" w:type="dxa"/>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6" w:type="dxa"/>
            <w:vMerge w:val="continue"/>
            <w:noWrap w:val="0"/>
            <w:vAlign w:val="center"/>
          </w:tcPr>
          <w:p>
            <w:pPr>
              <w:pStyle w:val="16"/>
              <w:kinsoku w:val="0"/>
              <w:overflowPunct w:val="0"/>
              <w:spacing w:line="460" w:lineRule="exact"/>
              <w:jc w:val="center"/>
              <w:rPr>
                <w:rFonts w:hint="eastAsia" w:ascii="仿宋" w:hAnsi="仿宋" w:eastAsia="仿宋" w:cstheme="minorBidi"/>
                <w:bCs/>
                <w:kern w:val="2"/>
                <w:sz w:val="21"/>
                <w:szCs w:val="21"/>
                <w:lang w:val="en-US" w:eastAsia="zh-CN" w:bidi="ar-SA"/>
              </w:rPr>
            </w:pPr>
          </w:p>
        </w:tc>
        <w:tc>
          <w:tcPr>
            <w:tcW w:w="1050" w:type="dxa"/>
            <w:vMerge w:val="continue"/>
            <w:noWrap w:val="0"/>
            <w:vAlign w:val="center"/>
          </w:tcPr>
          <w:p>
            <w:pPr>
              <w:pStyle w:val="16"/>
              <w:kinsoku w:val="0"/>
              <w:overflowPunct w:val="0"/>
              <w:spacing w:line="460" w:lineRule="exact"/>
              <w:jc w:val="center"/>
              <w:rPr>
                <w:rFonts w:hint="eastAsia" w:ascii="仿宋" w:hAnsi="仿宋" w:eastAsia="仿宋" w:cstheme="minorBidi"/>
                <w:bCs/>
                <w:kern w:val="2"/>
                <w:sz w:val="21"/>
                <w:szCs w:val="21"/>
                <w:lang w:val="en-US" w:eastAsia="zh-CN" w:bidi="ar-SA"/>
              </w:rPr>
            </w:pPr>
          </w:p>
        </w:tc>
        <w:tc>
          <w:tcPr>
            <w:tcW w:w="4537" w:type="dxa"/>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按反馈信息统计，可根据科室、问题类型、经治医师和</w:t>
            </w:r>
            <w:r>
              <w:rPr>
                <w:rFonts w:hint="eastAsia" w:ascii="仿宋" w:hAnsi="仿宋" w:eastAsia="仿宋" w:cstheme="minorBidi"/>
                <w:bCs/>
                <w:kern w:val="2"/>
                <w:sz w:val="21"/>
                <w:szCs w:val="21"/>
                <w:lang w:val="en-US" w:eastAsia="zh-Hans" w:bidi="ar-SA"/>
              </w:rPr>
              <w:t>就诊</w:t>
            </w:r>
            <w:r>
              <w:rPr>
                <w:rFonts w:hint="eastAsia" w:ascii="仿宋" w:hAnsi="仿宋" w:eastAsia="仿宋" w:cstheme="minorBidi"/>
                <w:bCs/>
                <w:kern w:val="2"/>
                <w:sz w:val="21"/>
                <w:szCs w:val="21"/>
                <w:lang w:val="en-US" w:eastAsia="zh-CN" w:bidi="ar-SA"/>
              </w:rPr>
              <w:t>时间统计反馈信息。</w:t>
            </w:r>
          </w:p>
        </w:tc>
        <w:tc>
          <w:tcPr>
            <w:tcW w:w="800" w:type="dxa"/>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c>
          <w:tcPr>
            <w:tcW w:w="888" w:type="dxa"/>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c>
          <w:tcPr>
            <w:tcW w:w="962" w:type="dxa"/>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c>
          <w:tcPr>
            <w:tcW w:w="1064" w:type="dxa"/>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6" w:type="dxa"/>
            <w:vMerge w:val="continue"/>
            <w:noWrap w:val="0"/>
            <w:vAlign w:val="center"/>
          </w:tcPr>
          <w:p>
            <w:pPr>
              <w:pStyle w:val="16"/>
              <w:kinsoku w:val="0"/>
              <w:overflowPunct w:val="0"/>
              <w:spacing w:line="460" w:lineRule="exact"/>
              <w:jc w:val="center"/>
              <w:rPr>
                <w:rFonts w:hint="eastAsia" w:ascii="仿宋" w:hAnsi="仿宋" w:eastAsia="仿宋" w:cstheme="minorBidi"/>
                <w:bCs/>
                <w:kern w:val="2"/>
                <w:sz w:val="21"/>
                <w:szCs w:val="21"/>
                <w:lang w:val="en-US" w:eastAsia="zh-CN" w:bidi="ar-SA"/>
              </w:rPr>
            </w:pPr>
          </w:p>
        </w:tc>
        <w:tc>
          <w:tcPr>
            <w:tcW w:w="1050" w:type="dxa"/>
            <w:vMerge w:val="continue"/>
            <w:noWrap w:val="0"/>
            <w:vAlign w:val="center"/>
          </w:tcPr>
          <w:p>
            <w:pPr>
              <w:pStyle w:val="16"/>
              <w:kinsoku w:val="0"/>
              <w:overflowPunct w:val="0"/>
              <w:spacing w:line="460" w:lineRule="exact"/>
              <w:jc w:val="center"/>
              <w:rPr>
                <w:rFonts w:hint="eastAsia" w:ascii="仿宋" w:hAnsi="仿宋" w:eastAsia="仿宋" w:cstheme="minorBidi"/>
                <w:bCs/>
                <w:kern w:val="2"/>
                <w:sz w:val="21"/>
                <w:szCs w:val="21"/>
                <w:lang w:val="en-US" w:eastAsia="zh-CN" w:bidi="ar-SA"/>
              </w:rPr>
            </w:pPr>
          </w:p>
        </w:tc>
        <w:tc>
          <w:tcPr>
            <w:tcW w:w="4537" w:type="dxa"/>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按工作量统计，可根据检查者统计他检查的病历数、检查例数和问题条目数。</w:t>
            </w:r>
          </w:p>
        </w:tc>
        <w:tc>
          <w:tcPr>
            <w:tcW w:w="800" w:type="dxa"/>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c>
          <w:tcPr>
            <w:tcW w:w="888" w:type="dxa"/>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c>
          <w:tcPr>
            <w:tcW w:w="962" w:type="dxa"/>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c>
          <w:tcPr>
            <w:tcW w:w="1064" w:type="dxa"/>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6" w:type="dxa"/>
            <w:vMerge w:val="continue"/>
            <w:noWrap w:val="0"/>
            <w:vAlign w:val="center"/>
          </w:tcPr>
          <w:p>
            <w:pPr>
              <w:pStyle w:val="16"/>
              <w:kinsoku w:val="0"/>
              <w:overflowPunct w:val="0"/>
              <w:spacing w:line="460" w:lineRule="exact"/>
              <w:jc w:val="center"/>
              <w:rPr>
                <w:rFonts w:hint="eastAsia" w:ascii="仿宋" w:hAnsi="仿宋" w:eastAsia="仿宋" w:cstheme="minorBidi"/>
                <w:bCs/>
                <w:kern w:val="2"/>
                <w:sz w:val="21"/>
                <w:szCs w:val="21"/>
                <w:lang w:val="en-US" w:eastAsia="zh-CN" w:bidi="ar-SA"/>
              </w:rPr>
            </w:pPr>
          </w:p>
        </w:tc>
        <w:tc>
          <w:tcPr>
            <w:tcW w:w="1050" w:type="dxa"/>
            <w:vMerge w:val="restart"/>
            <w:noWrap w:val="0"/>
            <w:vAlign w:val="center"/>
          </w:tcPr>
          <w:p>
            <w:pPr>
              <w:pStyle w:val="16"/>
              <w:kinsoku w:val="0"/>
              <w:overflowPunct w:val="0"/>
              <w:spacing w:line="46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全过程质控管理</w:t>
            </w:r>
          </w:p>
        </w:tc>
        <w:tc>
          <w:tcPr>
            <w:tcW w:w="4537" w:type="dxa"/>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事前提醒：</w:t>
            </w:r>
          </w:p>
          <w:p>
            <w:pPr>
              <w:widowControl/>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根据用户设置的时效质控规则、内容质控规则、逻辑质控规则，实时在线做干预提醒。</w:t>
            </w:r>
          </w:p>
        </w:tc>
        <w:tc>
          <w:tcPr>
            <w:tcW w:w="800" w:type="dxa"/>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c>
          <w:tcPr>
            <w:tcW w:w="888" w:type="dxa"/>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c>
          <w:tcPr>
            <w:tcW w:w="962" w:type="dxa"/>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c>
          <w:tcPr>
            <w:tcW w:w="1064" w:type="dxa"/>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6" w:type="dxa"/>
            <w:vMerge w:val="continue"/>
            <w:noWrap w:val="0"/>
            <w:vAlign w:val="center"/>
          </w:tcPr>
          <w:p>
            <w:pPr>
              <w:pStyle w:val="16"/>
              <w:kinsoku w:val="0"/>
              <w:overflowPunct w:val="0"/>
              <w:spacing w:line="460" w:lineRule="exact"/>
              <w:jc w:val="center"/>
              <w:rPr>
                <w:rFonts w:hint="eastAsia" w:ascii="仿宋" w:hAnsi="仿宋" w:eastAsia="仿宋" w:cstheme="minorBidi"/>
                <w:bCs/>
                <w:kern w:val="2"/>
                <w:sz w:val="21"/>
                <w:szCs w:val="21"/>
                <w:lang w:val="en-US" w:eastAsia="zh-CN" w:bidi="ar-SA"/>
              </w:rPr>
            </w:pPr>
          </w:p>
        </w:tc>
        <w:tc>
          <w:tcPr>
            <w:tcW w:w="1050" w:type="dxa"/>
            <w:vMerge w:val="continue"/>
            <w:noWrap w:val="0"/>
            <w:vAlign w:val="center"/>
          </w:tcPr>
          <w:p>
            <w:pPr>
              <w:pStyle w:val="16"/>
              <w:kinsoku w:val="0"/>
              <w:overflowPunct w:val="0"/>
              <w:spacing w:line="460" w:lineRule="exact"/>
              <w:jc w:val="center"/>
              <w:rPr>
                <w:rFonts w:hint="eastAsia" w:ascii="仿宋" w:hAnsi="仿宋" w:eastAsia="仿宋" w:cstheme="minorBidi"/>
                <w:bCs/>
                <w:kern w:val="2"/>
                <w:sz w:val="21"/>
                <w:szCs w:val="21"/>
                <w:lang w:val="en-US" w:eastAsia="zh-CN" w:bidi="ar-SA"/>
              </w:rPr>
            </w:pPr>
          </w:p>
        </w:tc>
        <w:tc>
          <w:tcPr>
            <w:tcW w:w="4537" w:type="dxa"/>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事中监控：</w:t>
            </w:r>
          </w:p>
          <w:p>
            <w:pPr>
              <w:widowControl/>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支持医嘱、检查/检验、病历三者一致性质控检查；典型病历自动抽取进行环节质控。</w:t>
            </w:r>
          </w:p>
        </w:tc>
        <w:tc>
          <w:tcPr>
            <w:tcW w:w="800" w:type="dxa"/>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c>
          <w:tcPr>
            <w:tcW w:w="888" w:type="dxa"/>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c>
          <w:tcPr>
            <w:tcW w:w="962" w:type="dxa"/>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c>
          <w:tcPr>
            <w:tcW w:w="1064" w:type="dxa"/>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516" w:type="dxa"/>
            <w:vMerge w:val="restart"/>
            <w:noWrap w:val="0"/>
            <w:vAlign w:val="center"/>
          </w:tcPr>
          <w:p>
            <w:pPr>
              <w:widowControl/>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Hans" w:bidi="ar-SA"/>
              </w:rPr>
              <w:t>门诊病历</w:t>
            </w:r>
            <w:r>
              <w:rPr>
                <w:rFonts w:hint="eastAsia" w:ascii="仿宋" w:hAnsi="仿宋" w:eastAsia="仿宋" w:cstheme="minorBidi"/>
                <w:bCs/>
                <w:kern w:val="2"/>
                <w:sz w:val="21"/>
                <w:szCs w:val="21"/>
                <w:lang w:val="en-US" w:eastAsia="zh-CN" w:bidi="ar-SA"/>
              </w:rPr>
              <w:t>内涵质控</w:t>
            </w:r>
          </w:p>
        </w:tc>
        <w:tc>
          <w:tcPr>
            <w:tcW w:w="1050" w:type="dxa"/>
            <w:noWrap w:val="0"/>
            <w:vAlign w:val="center"/>
          </w:tcPr>
          <w:p>
            <w:pPr>
              <w:pStyle w:val="16"/>
              <w:kinsoku w:val="0"/>
              <w:overflowPunct w:val="0"/>
              <w:spacing w:line="46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病历内涵全覆盖</w:t>
            </w:r>
          </w:p>
        </w:tc>
        <w:tc>
          <w:tcPr>
            <w:tcW w:w="4537" w:type="dxa"/>
            <w:noWrap w:val="0"/>
            <w:vAlign w:val="center"/>
          </w:tcPr>
          <w:p>
            <w:pPr>
              <w:pStyle w:val="16"/>
              <w:kinsoku w:val="0"/>
              <w:overflowPunct w:val="0"/>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系统通过自然语言处理智能分析医嘱文书、检验检查结果等多维度病历信息，实现病历内涵的全覆盖。</w:t>
            </w:r>
          </w:p>
        </w:tc>
        <w:tc>
          <w:tcPr>
            <w:tcW w:w="800" w:type="dxa"/>
            <w:noWrap w:val="0"/>
            <w:vAlign w:val="center"/>
          </w:tcPr>
          <w:p>
            <w:pPr>
              <w:pStyle w:val="16"/>
              <w:kinsoku w:val="0"/>
              <w:overflowPunct w:val="0"/>
              <w:spacing w:line="400" w:lineRule="exact"/>
              <w:jc w:val="left"/>
              <w:rPr>
                <w:rFonts w:hint="eastAsia" w:ascii="仿宋" w:hAnsi="仿宋" w:eastAsia="仿宋" w:cstheme="minorBidi"/>
                <w:bCs/>
                <w:kern w:val="2"/>
                <w:sz w:val="21"/>
                <w:szCs w:val="21"/>
                <w:lang w:val="en-US" w:eastAsia="zh-CN" w:bidi="ar-SA"/>
              </w:rPr>
            </w:pPr>
          </w:p>
        </w:tc>
        <w:tc>
          <w:tcPr>
            <w:tcW w:w="888" w:type="dxa"/>
            <w:noWrap w:val="0"/>
            <w:vAlign w:val="center"/>
          </w:tcPr>
          <w:p>
            <w:pPr>
              <w:pStyle w:val="16"/>
              <w:kinsoku w:val="0"/>
              <w:overflowPunct w:val="0"/>
              <w:spacing w:line="400" w:lineRule="exact"/>
              <w:jc w:val="left"/>
              <w:rPr>
                <w:rFonts w:hint="eastAsia" w:ascii="仿宋" w:hAnsi="仿宋" w:eastAsia="仿宋" w:cstheme="minorBidi"/>
                <w:bCs/>
                <w:kern w:val="2"/>
                <w:sz w:val="21"/>
                <w:szCs w:val="21"/>
                <w:lang w:val="en-US" w:eastAsia="zh-CN" w:bidi="ar-SA"/>
              </w:rPr>
            </w:pPr>
          </w:p>
        </w:tc>
        <w:tc>
          <w:tcPr>
            <w:tcW w:w="962" w:type="dxa"/>
            <w:noWrap w:val="0"/>
            <w:vAlign w:val="center"/>
          </w:tcPr>
          <w:p>
            <w:pPr>
              <w:pStyle w:val="16"/>
              <w:kinsoku w:val="0"/>
              <w:overflowPunct w:val="0"/>
              <w:spacing w:line="400" w:lineRule="exact"/>
              <w:jc w:val="left"/>
              <w:rPr>
                <w:rFonts w:hint="eastAsia" w:ascii="仿宋" w:hAnsi="仿宋" w:eastAsia="仿宋" w:cstheme="minorBidi"/>
                <w:bCs/>
                <w:kern w:val="2"/>
                <w:sz w:val="21"/>
                <w:szCs w:val="21"/>
                <w:lang w:val="en-US" w:eastAsia="zh-CN" w:bidi="ar-SA"/>
              </w:rPr>
            </w:pPr>
          </w:p>
        </w:tc>
        <w:tc>
          <w:tcPr>
            <w:tcW w:w="1064" w:type="dxa"/>
            <w:noWrap w:val="0"/>
            <w:vAlign w:val="center"/>
          </w:tcPr>
          <w:p>
            <w:pPr>
              <w:pStyle w:val="16"/>
              <w:kinsoku w:val="0"/>
              <w:overflowPunct w:val="0"/>
              <w:spacing w:line="400" w:lineRule="exact"/>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6" w:type="dxa"/>
            <w:vMerge w:val="continue"/>
            <w:noWrap w:val="0"/>
            <w:vAlign w:val="center"/>
          </w:tcPr>
          <w:p>
            <w:pPr>
              <w:widowControl/>
              <w:spacing w:line="400" w:lineRule="exact"/>
              <w:jc w:val="center"/>
              <w:rPr>
                <w:rFonts w:hint="eastAsia" w:ascii="仿宋" w:hAnsi="仿宋" w:eastAsia="仿宋" w:cstheme="minorBidi"/>
                <w:bCs/>
                <w:kern w:val="2"/>
                <w:sz w:val="21"/>
                <w:szCs w:val="21"/>
                <w:lang w:val="en-US" w:eastAsia="zh-CN" w:bidi="ar-SA"/>
              </w:rPr>
            </w:pPr>
          </w:p>
        </w:tc>
        <w:tc>
          <w:tcPr>
            <w:tcW w:w="1050" w:type="dxa"/>
            <w:noWrap w:val="0"/>
            <w:vAlign w:val="center"/>
          </w:tcPr>
          <w:p>
            <w:pPr>
              <w:pStyle w:val="16"/>
              <w:kinsoku w:val="0"/>
              <w:overflowPunct w:val="0"/>
              <w:spacing w:line="46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上下文一致性</w:t>
            </w:r>
          </w:p>
        </w:tc>
        <w:tc>
          <w:tcPr>
            <w:tcW w:w="4537" w:type="dxa"/>
            <w:noWrap w:val="0"/>
            <w:vAlign w:val="center"/>
          </w:tcPr>
          <w:p>
            <w:pPr>
              <w:widowControl/>
              <w:spacing w:line="500" w:lineRule="exac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单一文书内容一致性提醒</w:t>
            </w:r>
          </w:p>
          <w:p>
            <w:pPr>
              <w:pStyle w:val="16"/>
              <w:kinsoku w:val="0"/>
              <w:overflowPunct w:val="0"/>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系统可检查当前文书中对同一情况的记录是否一致，以此来保证数据准确性，如：体格检查与专科检查记录的一致性；现病史中手术史/外伤史/药物过敏史等与既往史中手术史/外伤史/药物过敏史记录的一致性。</w:t>
            </w:r>
          </w:p>
        </w:tc>
        <w:tc>
          <w:tcPr>
            <w:tcW w:w="800" w:type="dxa"/>
            <w:noWrap w:val="0"/>
            <w:vAlign w:val="center"/>
          </w:tcPr>
          <w:p>
            <w:pPr>
              <w:pStyle w:val="16"/>
              <w:kinsoku w:val="0"/>
              <w:overflowPunct w:val="0"/>
              <w:spacing w:line="400" w:lineRule="exact"/>
              <w:jc w:val="left"/>
              <w:rPr>
                <w:rFonts w:hint="eastAsia" w:ascii="仿宋" w:hAnsi="仿宋" w:eastAsia="仿宋" w:cstheme="minorBidi"/>
                <w:bCs/>
                <w:kern w:val="2"/>
                <w:sz w:val="21"/>
                <w:szCs w:val="21"/>
                <w:lang w:val="en-US" w:eastAsia="zh-CN" w:bidi="ar-SA"/>
              </w:rPr>
            </w:pPr>
          </w:p>
        </w:tc>
        <w:tc>
          <w:tcPr>
            <w:tcW w:w="888" w:type="dxa"/>
            <w:noWrap w:val="0"/>
            <w:vAlign w:val="center"/>
          </w:tcPr>
          <w:p>
            <w:pPr>
              <w:pStyle w:val="16"/>
              <w:kinsoku w:val="0"/>
              <w:overflowPunct w:val="0"/>
              <w:spacing w:line="400" w:lineRule="exact"/>
              <w:jc w:val="left"/>
              <w:rPr>
                <w:rFonts w:hint="eastAsia" w:ascii="仿宋" w:hAnsi="仿宋" w:eastAsia="仿宋" w:cstheme="minorBidi"/>
                <w:bCs/>
                <w:kern w:val="2"/>
                <w:sz w:val="21"/>
                <w:szCs w:val="21"/>
                <w:lang w:val="en-US" w:eastAsia="zh-CN" w:bidi="ar-SA"/>
              </w:rPr>
            </w:pPr>
          </w:p>
        </w:tc>
        <w:tc>
          <w:tcPr>
            <w:tcW w:w="962" w:type="dxa"/>
            <w:noWrap w:val="0"/>
            <w:vAlign w:val="center"/>
          </w:tcPr>
          <w:p>
            <w:pPr>
              <w:pStyle w:val="16"/>
              <w:kinsoku w:val="0"/>
              <w:overflowPunct w:val="0"/>
              <w:spacing w:line="400" w:lineRule="exact"/>
              <w:jc w:val="left"/>
              <w:rPr>
                <w:rFonts w:hint="eastAsia" w:ascii="仿宋" w:hAnsi="仿宋" w:eastAsia="仿宋" w:cstheme="minorBidi"/>
                <w:bCs/>
                <w:kern w:val="2"/>
                <w:sz w:val="21"/>
                <w:szCs w:val="21"/>
                <w:lang w:val="en-US" w:eastAsia="zh-CN" w:bidi="ar-SA"/>
              </w:rPr>
            </w:pPr>
          </w:p>
        </w:tc>
        <w:tc>
          <w:tcPr>
            <w:tcW w:w="1064" w:type="dxa"/>
            <w:noWrap w:val="0"/>
            <w:vAlign w:val="center"/>
          </w:tcPr>
          <w:p>
            <w:pPr>
              <w:pStyle w:val="16"/>
              <w:kinsoku w:val="0"/>
              <w:overflowPunct w:val="0"/>
              <w:spacing w:line="400" w:lineRule="exact"/>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6" w:type="dxa"/>
            <w:vMerge w:val="continue"/>
            <w:noWrap w:val="0"/>
            <w:vAlign w:val="center"/>
          </w:tcPr>
          <w:p>
            <w:pPr>
              <w:widowControl/>
              <w:spacing w:line="400" w:lineRule="exact"/>
              <w:jc w:val="center"/>
              <w:rPr>
                <w:rFonts w:hint="eastAsia" w:ascii="仿宋" w:hAnsi="仿宋" w:eastAsia="仿宋" w:cstheme="minorBidi"/>
                <w:bCs/>
                <w:kern w:val="2"/>
                <w:sz w:val="21"/>
                <w:szCs w:val="21"/>
                <w:lang w:val="en-US" w:eastAsia="zh-CN" w:bidi="ar-SA"/>
              </w:rPr>
            </w:pPr>
          </w:p>
        </w:tc>
        <w:tc>
          <w:tcPr>
            <w:tcW w:w="1050" w:type="dxa"/>
            <w:noWrap w:val="0"/>
            <w:vAlign w:val="center"/>
          </w:tcPr>
          <w:p>
            <w:pPr>
              <w:pStyle w:val="16"/>
              <w:kinsoku w:val="0"/>
              <w:overflowPunct w:val="0"/>
              <w:spacing w:line="46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诊疗过程合理性</w:t>
            </w:r>
          </w:p>
        </w:tc>
        <w:tc>
          <w:tcPr>
            <w:tcW w:w="4537" w:type="dxa"/>
            <w:noWrap w:val="0"/>
            <w:vAlign w:val="center"/>
          </w:tcPr>
          <w:p>
            <w:pPr>
              <w:widowControl/>
              <w:spacing w:line="500" w:lineRule="exac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系统可结合患者全病历文书以及医嘱、检验检查结果等，判断医生的诊断、检查检查开立和药物的使用及病程记录是否符合患者病情特点，如：体格检查中，若体格检查中的描述和</w:t>
            </w:r>
            <w:r>
              <w:rPr>
                <w:rFonts w:hint="eastAsia" w:ascii="仿宋" w:hAnsi="仿宋" w:eastAsia="仿宋" w:cstheme="minorBidi"/>
                <w:bCs/>
                <w:kern w:val="2"/>
                <w:sz w:val="21"/>
                <w:szCs w:val="21"/>
                <w:lang w:val="en-US" w:eastAsia="zh-Hans" w:bidi="ar-SA"/>
              </w:rPr>
              <w:t>诊断是否</w:t>
            </w:r>
            <w:r>
              <w:rPr>
                <w:rFonts w:hint="eastAsia" w:ascii="仿宋" w:hAnsi="仿宋" w:eastAsia="仿宋" w:cstheme="minorBidi"/>
                <w:bCs/>
                <w:kern w:val="2"/>
                <w:sz w:val="21"/>
                <w:szCs w:val="21"/>
                <w:lang w:val="en-US" w:eastAsia="zh-CN" w:bidi="ar-SA"/>
              </w:rPr>
              <w:t>相符。</w:t>
            </w:r>
          </w:p>
        </w:tc>
        <w:tc>
          <w:tcPr>
            <w:tcW w:w="800" w:type="dxa"/>
            <w:noWrap w:val="0"/>
            <w:vAlign w:val="center"/>
          </w:tcPr>
          <w:p>
            <w:pPr>
              <w:widowControl/>
              <w:spacing w:line="500" w:lineRule="exact"/>
              <w:rPr>
                <w:rFonts w:hint="eastAsia" w:ascii="仿宋" w:hAnsi="仿宋" w:eastAsia="仿宋" w:cstheme="minorBidi"/>
                <w:bCs/>
                <w:kern w:val="2"/>
                <w:sz w:val="21"/>
                <w:szCs w:val="21"/>
                <w:lang w:val="en-US" w:eastAsia="zh-CN" w:bidi="ar-SA"/>
              </w:rPr>
            </w:pPr>
          </w:p>
        </w:tc>
        <w:tc>
          <w:tcPr>
            <w:tcW w:w="888" w:type="dxa"/>
            <w:noWrap w:val="0"/>
            <w:vAlign w:val="center"/>
          </w:tcPr>
          <w:p>
            <w:pPr>
              <w:widowControl/>
              <w:spacing w:line="500" w:lineRule="exact"/>
              <w:rPr>
                <w:rFonts w:hint="eastAsia" w:ascii="仿宋" w:hAnsi="仿宋" w:eastAsia="仿宋" w:cstheme="minorBidi"/>
                <w:bCs/>
                <w:kern w:val="2"/>
                <w:sz w:val="21"/>
                <w:szCs w:val="21"/>
                <w:lang w:val="en-US" w:eastAsia="zh-CN" w:bidi="ar-SA"/>
              </w:rPr>
            </w:pPr>
          </w:p>
        </w:tc>
        <w:tc>
          <w:tcPr>
            <w:tcW w:w="962" w:type="dxa"/>
            <w:noWrap w:val="0"/>
            <w:vAlign w:val="center"/>
          </w:tcPr>
          <w:p>
            <w:pPr>
              <w:widowControl/>
              <w:spacing w:line="500" w:lineRule="exact"/>
              <w:rPr>
                <w:rFonts w:hint="eastAsia" w:ascii="仿宋" w:hAnsi="仿宋" w:eastAsia="仿宋" w:cstheme="minorBidi"/>
                <w:bCs/>
                <w:kern w:val="2"/>
                <w:sz w:val="21"/>
                <w:szCs w:val="21"/>
                <w:lang w:val="en-US" w:eastAsia="zh-CN" w:bidi="ar-SA"/>
              </w:rPr>
            </w:pPr>
          </w:p>
        </w:tc>
        <w:tc>
          <w:tcPr>
            <w:tcW w:w="1064" w:type="dxa"/>
            <w:noWrap w:val="0"/>
            <w:vAlign w:val="center"/>
          </w:tcPr>
          <w:p>
            <w:pPr>
              <w:widowControl/>
              <w:spacing w:line="500" w:lineRule="exac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6" w:type="dxa"/>
            <w:vMerge w:val="continue"/>
            <w:noWrap w:val="0"/>
            <w:vAlign w:val="center"/>
          </w:tcPr>
          <w:p>
            <w:pPr>
              <w:widowControl/>
              <w:spacing w:line="400" w:lineRule="exact"/>
              <w:jc w:val="center"/>
              <w:rPr>
                <w:rFonts w:hint="eastAsia" w:ascii="仿宋" w:hAnsi="仿宋" w:eastAsia="仿宋" w:cstheme="minorBidi"/>
                <w:bCs/>
                <w:kern w:val="2"/>
                <w:sz w:val="21"/>
                <w:szCs w:val="21"/>
                <w:lang w:val="en-US" w:eastAsia="zh-CN" w:bidi="ar-SA"/>
              </w:rPr>
            </w:pPr>
          </w:p>
        </w:tc>
        <w:tc>
          <w:tcPr>
            <w:tcW w:w="1050" w:type="dxa"/>
            <w:noWrap w:val="0"/>
            <w:vAlign w:val="center"/>
          </w:tcPr>
          <w:p>
            <w:pPr>
              <w:pStyle w:val="16"/>
              <w:kinsoku w:val="0"/>
              <w:overflowPunct w:val="0"/>
              <w:spacing w:line="46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文书书写缺陷</w:t>
            </w:r>
          </w:p>
        </w:tc>
        <w:tc>
          <w:tcPr>
            <w:tcW w:w="4537" w:type="dxa"/>
            <w:noWrap w:val="0"/>
            <w:vAlign w:val="center"/>
          </w:tcPr>
          <w:p>
            <w:pPr>
              <w:widowControl/>
              <w:spacing w:line="500" w:lineRule="exac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系统可检查各病历文书的记录内容是否存在缺陷；如：</w:t>
            </w:r>
            <w:r>
              <w:rPr>
                <w:rFonts w:hint="eastAsia" w:ascii="仿宋" w:hAnsi="仿宋" w:eastAsia="仿宋" w:cstheme="minorBidi"/>
                <w:bCs/>
                <w:kern w:val="2"/>
                <w:sz w:val="21"/>
                <w:szCs w:val="21"/>
                <w:lang w:val="en-US" w:eastAsia="zh-Hans" w:bidi="ar-SA"/>
              </w:rPr>
              <w:t>病历中缺少相应诊断依据</w:t>
            </w:r>
            <w:r>
              <w:rPr>
                <w:rFonts w:hint="eastAsia" w:ascii="仿宋" w:hAnsi="仿宋" w:eastAsia="仿宋" w:cstheme="minorBidi"/>
                <w:bCs/>
                <w:kern w:val="2"/>
                <w:sz w:val="21"/>
                <w:szCs w:val="21"/>
                <w:lang w:val="en-US" w:eastAsia="zh-CN" w:bidi="ar-SA"/>
              </w:rPr>
              <w:t>；</w:t>
            </w:r>
            <w:r>
              <w:rPr>
                <w:rFonts w:hint="eastAsia" w:ascii="仿宋" w:hAnsi="仿宋" w:eastAsia="仿宋" w:cstheme="minorBidi"/>
                <w:bCs/>
                <w:kern w:val="2"/>
                <w:sz w:val="21"/>
                <w:szCs w:val="21"/>
                <w:lang w:val="en-US" w:eastAsia="zh-Hans" w:bidi="ar-SA"/>
              </w:rPr>
              <w:t>门诊药品用法书写不规范，是否有用法剂量等详细描述</w:t>
            </w:r>
            <w:r>
              <w:rPr>
                <w:rFonts w:hint="eastAsia" w:ascii="仿宋" w:hAnsi="仿宋" w:eastAsia="仿宋" w:cstheme="minorBidi"/>
                <w:bCs/>
                <w:kern w:val="2"/>
                <w:sz w:val="21"/>
                <w:szCs w:val="21"/>
                <w:lang w:val="en-US" w:eastAsia="zh-CN" w:bidi="ar-SA"/>
              </w:rPr>
              <w:t>等。</w:t>
            </w:r>
          </w:p>
        </w:tc>
        <w:tc>
          <w:tcPr>
            <w:tcW w:w="800" w:type="dxa"/>
            <w:noWrap w:val="0"/>
            <w:vAlign w:val="center"/>
          </w:tcPr>
          <w:p>
            <w:pPr>
              <w:widowControl/>
              <w:spacing w:line="500" w:lineRule="exact"/>
              <w:rPr>
                <w:rFonts w:hint="eastAsia" w:ascii="仿宋" w:hAnsi="仿宋" w:eastAsia="仿宋" w:cstheme="minorBidi"/>
                <w:bCs/>
                <w:kern w:val="2"/>
                <w:sz w:val="21"/>
                <w:szCs w:val="21"/>
                <w:lang w:val="en-US" w:eastAsia="zh-CN" w:bidi="ar-SA"/>
              </w:rPr>
            </w:pPr>
          </w:p>
        </w:tc>
        <w:tc>
          <w:tcPr>
            <w:tcW w:w="888" w:type="dxa"/>
            <w:noWrap w:val="0"/>
            <w:vAlign w:val="center"/>
          </w:tcPr>
          <w:p>
            <w:pPr>
              <w:widowControl/>
              <w:spacing w:line="500" w:lineRule="exact"/>
              <w:rPr>
                <w:rFonts w:hint="eastAsia" w:ascii="仿宋" w:hAnsi="仿宋" w:eastAsia="仿宋" w:cstheme="minorBidi"/>
                <w:bCs/>
                <w:kern w:val="2"/>
                <w:sz w:val="21"/>
                <w:szCs w:val="21"/>
                <w:lang w:val="en-US" w:eastAsia="zh-CN" w:bidi="ar-SA"/>
              </w:rPr>
            </w:pPr>
          </w:p>
        </w:tc>
        <w:tc>
          <w:tcPr>
            <w:tcW w:w="962" w:type="dxa"/>
            <w:noWrap w:val="0"/>
            <w:vAlign w:val="center"/>
          </w:tcPr>
          <w:p>
            <w:pPr>
              <w:widowControl/>
              <w:spacing w:line="500" w:lineRule="exact"/>
              <w:rPr>
                <w:rFonts w:hint="eastAsia" w:ascii="仿宋" w:hAnsi="仿宋" w:eastAsia="仿宋" w:cstheme="minorBidi"/>
                <w:bCs/>
                <w:kern w:val="2"/>
                <w:sz w:val="21"/>
                <w:szCs w:val="21"/>
                <w:lang w:val="en-US" w:eastAsia="zh-CN" w:bidi="ar-SA"/>
              </w:rPr>
            </w:pPr>
          </w:p>
        </w:tc>
        <w:tc>
          <w:tcPr>
            <w:tcW w:w="1064" w:type="dxa"/>
            <w:noWrap w:val="0"/>
            <w:vAlign w:val="center"/>
          </w:tcPr>
          <w:p>
            <w:pPr>
              <w:widowControl/>
              <w:spacing w:line="500" w:lineRule="exac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6" w:type="dxa"/>
            <w:vMerge w:val="continue"/>
            <w:noWrap w:val="0"/>
            <w:vAlign w:val="center"/>
          </w:tcPr>
          <w:p>
            <w:pPr>
              <w:widowControl/>
              <w:spacing w:line="400" w:lineRule="exact"/>
              <w:jc w:val="center"/>
              <w:rPr>
                <w:rFonts w:hint="eastAsia" w:ascii="仿宋" w:hAnsi="仿宋" w:eastAsia="仿宋" w:cstheme="minorBidi"/>
                <w:bCs/>
                <w:kern w:val="2"/>
                <w:sz w:val="21"/>
                <w:szCs w:val="21"/>
                <w:lang w:val="en-US" w:eastAsia="zh-CN" w:bidi="ar-SA"/>
              </w:rPr>
            </w:pPr>
          </w:p>
        </w:tc>
        <w:tc>
          <w:tcPr>
            <w:tcW w:w="1050" w:type="dxa"/>
            <w:noWrap w:val="0"/>
            <w:vAlign w:val="center"/>
          </w:tcPr>
          <w:p>
            <w:pPr>
              <w:pStyle w:val="16"/>
              <w:kinsoku w:val="0"/>
              <w:overflowPunct w:val="0"/>
              <w:spacing w:line="46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客观逻辑一致性</w:t>
            </w:r>
          </w:p>
        </w:tc>
        <w:tc>
          <w:tcPr>
            <w:tcW w:w="4537" w:type="dxa"/>
            <w:noWrap w:val="0"/>
            <w:vAlign w:val="center"/>
          </w:tcPr>
          <w:p>
            <w:pPr>
              <w:spacing w:line="360" w:lineRule="auto"/>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系统可检查全病历中记录的内容是否符合客观逻辑一致性。</w:t>
            </w:r>
          </w:p>
          <w:p>
            <w:pPr>
              <w:widowControl/>
              <w:spacing w:line="500" w:lineRule="exac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患者基本信息（性别、年龄、特殊人员）与</w:t>
            </w:r>
            <w:r>
              <w:rPr>
                <w:rFonts w:hint="eastAsia" w:ascii="仿宋" w:hAnsi="仿宋" w:eastAsia="仿宋" w:cstheme="minorBidi"/>
                <w:bCs/>
                <w:kern w:val="2"/>
                <w:sz w:val="21"/>
                <w:szCs w:val="21"/>
                <w:lang w:val="en-US" w:eastAsia="zh-Hans" w:bidi="ar-SA"/>
              </w:rPr>
              <w:t>月经史等的</w:t>
            </w:r>
            <w:r>
              <w:rPr>
                <w:rFonts w:hint="eastAsia" w:ascii="仿宋" w:hAnsi="仿宋" w:eastAsia="仿宋" w:cstheme="minorBidi"/>
                <w:bCs/>
                <w:kern w:val="2"/>
                <w:sz w:val="21"/>
                <w:szCs w:val="21"/>
                <w:lang w:val="en-US" w:eastAsia="zh-CN" w:bidi="ar-SA"/>
              </w:rPr>
              <w:t>描述的一致性。</w:t>
            </w:r>
          </w:p>
        </w:tc>
        <w:tc>
          <w:tcPr>
            <w:tcW w:w="800" w:type="dxa"/>
            <w:noWrap w:val="0"/>
            <w:vAlign w:val="center"/>
          </w:tcPr>
          <w:p>
            <w:pPr>
              <w:widowControl/>
              <w:spacing w:line="500" w:lineRule="exact"/>
              <w:rPr>
                <w:rFonts w:hint="eastAsia" w:ascii="仿宋" w:hAnsi="仿宋" w:eastAsia="仿宋" w:cstheme="minorBidi"/>
                <w:bCs/>
                <w:kern w:val="2"/>
                <w:sz w:val="21"/>
                <w:szCs w:val="21"/>
                <w:lang w:val="en-US" w:eastAsia="zh-CN" w:bidi="ar-SA"/>
              </w:rPr>
            </w:pPr>
          </w:p>
        </w:tc>
        <w:tc>
          <w:tcPr>
            <w:tcW w:w="888" w:type="dxa"/>
            <w:noWrap w:val="0"/>
            <w:vAlign w:val="center"/>
          </w:tcPr>
          <w:p>
            <w:pPr>
              <w:widowControl/>
              <w:spacing w:line="500" w:lineRule="exact"/>
              <w:rPr>
                <w:rFonts w:hint="eastAsia" w:ascii="仿宋" w:hAnsi="仿宋" w:eastAsia="仿宋" w:cstheme="minorBidi"/>
                <w:bCs/>
                <w:kern w:val="2"/>
                <w:sz w:val="21"/>
                <w:szCs w:val="21"/>
                <w:lang w:val="en-US" w:eastAsia="zh-CN" w:bidi="ar-SA"/>
              </w:rPr>
            </w:pPr>
          </w:p>
        </w:tc>
        <w:tc>
          <w:tcPr>
            <w:tcW w:w="962" w:type="dxa"/>
            <w:noWrap w:val="0"/>
            <w:vAlign w:val="center"/>
          </w:tcPr>
          <w:p>
            <w:pPr>
              <w:widowControl/>
              <w:spacing w:line="500" w:lineRule="exact"/>
              <w:rPr>
                <w:rFonts w:hint="eastAsia" w:ascii="仿宋" w:hAnsi="仿宋" w:eastAsia="仿宋" w:cstheme="minorBidi"/>
                <w:bCs/>
                <w:kern w:val="2"/>
                <w:sz w:val="21"/>
                <w:szCs w:val="21"/>
                <w:lang w:val="en-US" w:eastAsia="zh-CN" w:bidi="ar-SA"/>
              </w:rPr>
            </w:pPr>
          </w:p>
        </w:tc>
        <w:tc>
          <w:tcPr>
            <w:tcW w:w="1064" w:type="dxa"/>
            <w:noWrap w:val="0"/>
            <w:vAlign w:val="center"/>
          </w:tcPr>
          <w:p>
            <w:pPr>
              <w:widowControl/>
              <w:spacing w:line="500" w:lineRule="exac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6" w:type="dxa"/>
            <w:vMerge w:val="continue"/>
            <w:noWrap w:val="0"/>
            <w:vAlign w:val="center"/>
          </w:tcPr>
          <w:p>
            <w:pPr>
              <w:widowControl/>
              <w:spacing w:line="400" w:lineRule="exact"/>
              <w:jc w:val="center"/>
              <w:rPr>
                <w:rFonts w:hint="eastAsia" w:ascii="仿宋" w:hAnsi="仿宋" w:eastAsia="仿宋" w:cstheme="minorBidi"/>
                <w:bCs/>
                <w:kern w:val="2"/>
                <w:sz w:val="21"/>
                <w:szCs w:val="21"/>
                <w:lang w:val="en-US" w:eastAsia="zh-CN" w:bidi="ar-SA"/>
              </w:rPr>
            </w:pPr>
          </w:p>
        </w:tc>
        <w:tc>
          <w:tcPr>
            <w:tcW w:w="1050" w:type="dxa"/>
            <w:vMerge w:val="restart"/>
            <w:noWrap w:val="0"/>
            <w:vAlign w:val="center"/>
          </w:tcPr>
          <w:p>
            <w:pPr>
              <w:pStyle w:val="16"/>
              <w:kinsoku w:val="0"/>
              <w:overflowPunct w:val="0"/>
              <w:spacing w:line="46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二次人工审核</w:t>
            </w:r>
          </w:p>
        </w:tc>
        <w:tc>
          <w:tcPr>
            <w:tcW w:w="4537" w:type="dxa"/>
            <w:noWrap w:val="0"/>
            <w:vAlign w:val="center"/>
          </w:tcPr>
          <w:p>
            <w:pPr>
              <w:pStyle w:val="16"/>
              <w:kinsoku w:val="0"/>
              <w:overflowPunct w:val="0"/>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系统支持</w:t>
            </w:r>
            <w:r>
              <w:rPr>
                <w:rFonts w:hint="eastAsia" w:ascii="仿宋" w:hAnsi="仿宋" w:eastAsia="仿宋" w:cstheme="minorBidi"/>
                <w:bCs/>
                <w:kern w:val="2"/>
                <w:sz w:val="21"/>
                <w:szCs w:val="21"/>
                <w:lang w:val="en-US" w:eastAsia="zh-Hans" w:bidi="ar-SA"/>
              </w:rPr>
              <w:t>门诊管理端</w:t>
            </w:r>
            <w:r>
              <w:rPr>
                <w:rFonts w:hint="eastAsia" w:ascii="仿宋" w:hAnsi="仿宋" w:eastAsia="仿宋" w:cstheme="minorBidi"/>
                <w:bCs/>
                <w:kern w:val="2"/>
                <w:sz w:val="21"/>
                <w:szCs w:val="21"/>
                <w:lang w:val="en-US" w:eastAsia="zh-CN" w:bidi="ar-SA"/>
              </w:rPr>
              <w:t>根据病历AI审核结果，包括：病历详情、病历质控问题数量分布、质控结果（病历类型、质检项目、问题类型、系统结果、人工调整、操作）病历质量问题数量等维度进行结果展示，并支持二次人工审核。</w:t>
            </w:r>
          </w:p>
        </w:tc>
        <w:tc>
          <w:tcPr>
            <w:tcW w:w="800" w:type="dxa"/>
            <w:noWrap w:val="0"/>
            <w:vAlign w:val="center"/>
          </w:tcPr>
          <w:p>
            <w:pPr>
              <w:pStyle w:val="16"/>
              <w:kinsoku w:val="0"/>
              <w:overflowPunct w:val="0"/>
              <w:spacing w:line="400" w:lineRule="exact"/>
              <w:jc w:val="left"/>
              <w:rPr>
                <w:rFonts w:hint="eastAsia" w:ascii="仿宋" w:hAnsi="仿宋" w:eastAsia="仿宋" w:cstheme="minorBidi"/>
                <w:bCs/>
                <w:kern w:val="2"/>
                <w:sz w:val="21"/>
                <w:szCs w:val="21"/>
                <w:lang w:val="en-US" w:eastAsia="zh-CN" w:bidi="ar-SA"/>
              </w:rPr>
            </w:pPr>
          </w:p>
        </w:tc>
        <w:tc>
          <w:tcPr>
            <w:tcW w:w="888" w:type="dxa"/>
            <w:noWrap w:val="0"/>
            <w:vAlign w:val="center"/>
          </w:tcPr>
          <w:p>
            <w:pPr>
              <w:pStyle w:val="16"/>
              <w:kinsoku w:val="0"/>
              <w:overflowPunct w:val="0"/>
              <w:spacing w:line="400" w:lineRule="exact"/>
              <w:jc w:val="left"/>
              <w:rPr>
                <w:rFonts w:hint="eastAsia" w:ascii="仿宋" w:hAnsi="仿宋" w:eastAsia="仿宋" w:cstheme="minorBidi"/>
                <w:bCs/>
                <w:kern w:val="2"/>
                <w:sz w:val="21"/>
                <w:szCs w:val="21"/>
                <w:lang w:val="en-US" w:eastAsia="zh-CN" w:bidi="ar-SA"/>
              </w:rPr>
            </w:pPr>
          </w:p>
        </w:tc>
        <w:tc>
          <w:tcPr>
            <w:tcW w:w="962" w:type="dxa"/>
            <w:noWrap w:val="0"/>
            <w:vAlign w:val="center"/>
          </w:tcPr>
          <w:p>
            <w:pPr>
              <w:pStyle w:val="16"/>
              <w:kinsoku w:val="0"/>
              <w:overflowPunct w:val="0"/>
              <w:spacing w:line="400" w:lineRule="exact"/>
              <w:jc w:val="left"/>
              <w:rPr>
                <w:rFonts w:hint="eastAsia" w:ascii="仿宋" w:hAnsi="仿宋" w:eastAsia="仿宋" w:cstheme="minorBidi"/>
                <w:bCs/>
                <w:kern w:val="2"/>
                <w:sz w:val="21"/>
                <w:szCs w:val="21"/>
                <w:lang w:val="en-US" w:eastAsia="zh-CN" w:bidi="ar-SA"/>
              </w:rPr>
            </w:pPr>
          </w:p>
        </w:tc>
        <w:tc>
          <w:tcPr>
            <w:tcW w:w="1064" w:type="dxa"/>
            <w:noWrap w:val="0"/>
            <w:vAlign w:val="center"/>
          </w:tcPr>
          <w:p>
            <w:pPr>
              <w:pStyle w:val="16"/>
              <w:kinsoku w:val="0"/>
              <w:overflowPunct w:val="0"/>
              <w:spacing w:line="400" w:lineRule="exact"/>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6" w:type="dxa"/>
            <w:vMerge w:val="continue"/>
            <w:noWrap w:val="0"/>
            <w:vAlign w:val="center"/>
          </w:tcPr>
          <w:p>
            <w:pPr>
              <w:widowControl/>
              <w:spacing w:line="400" w:lineRule="exact"/>
              <w:jc w:val="center"/>
              <w:rPr>
                <w:rFonts w:hint="eastAsia" w:ascii="仿宋" w:hAnsi="仿宋" w:eastAsia="仿宋" w:cstheme="minorBidi"/>
                <w:bCs/>
                <w:kern w:val="2"/>
                <w:sz w:val="21"/>
                <w:szCs w:val="21"/>
                <w:lang w:val="en-US" w:eastAsia="zh-CN" w:bidi="ar-SA"/>
              </w:rPr>
            </w:pPr>
          </w:p>
        </w:tc>
        <w:tc>
          <w:tcPr>
            <w:tcW w:w="1050" w:type="dxa"/>
            <w:vMerge w:val="continue"/>
            <w:noWrap w:val="0"/>
            <w:vAlign w:val="center"/>
          </w:tcPr>
          <w:p>
            <w:pPr>
              <w:pStyle w:val="16"/>
              <w:kinsoku w:val="0"/>
              <w:overflowPunct w:val="0"/>
              <w:spacing w:line="460" w:lineRule="exact"/>
              <w:jc w:val="center"/>
              <w:rPr>
                <w:rFonts w:hint="eastAsia" w:ascii="仿宋" w:hAnsi="仿宋" w:eastAsia="仿宋" w:cstheme="minorBidi"/>
                <w:bCs/>
                <w:kern w:val="2"/>
                <w:sz w:val="21"/>
                <w:szCs w:val="21"/>
                <w:lang w:val="en-US" w:eastAsia="zh-CN" w:bidi="ar-SA"/>
              </w:rPr>
            </w:pPr>
          </w:p>
        </w:tc>
        <w:tc>
          <w:tcPr>
            <w:tcW w:w="4537" w:type="dxa"/>
            <w:noWrap w:val="0"/>
            <w:vAlign w:val="center"/>
          </w:tcPr>
          <w:p>
            <w:pPr>
              <w:widowControl/>
              <w:spacing w:line="5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缺陷定位</w:t>
            </w:r>
          </w:p>
          <w:p>
            <w:pPr>
              <w:pStyle w:val="16"/>
              <w:kinsoku w:val="0"/>
              <w:overflowPunct w:val="0"/>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系统可展示出选中病历文书的所有缺陷详情，支持点击缺陷条目后，跳转至病历文书的原文位置，并且以不同背景颜色提示。</w:t>
            </w:r>
          </w:p>
        </w:tc>
        <w:tc>
          <w:tcPr>
            <w:tcW w:w="800" w:type="dxa"/>
            <w:noWrap w:val="0"/>
            <w:vAlign w:val="center"/>
          </w:tcPr>
          <w:p>
            <w:pPr>
              <w:pStyle w:val="16"/>
              <w:kinsoku w:val="0"/>
              <w:overflowPunct w:val="0"/>
              <w:spacing w:line="400" w:lineRule="exact"/>
              <w:jc w:val="left"/>
              <w:rPr>
                <w:rFonts w:hint="eastAsia" w:ascii="仿宋" w:hAnsi="仿宋" w:eastAsia="仿宋" w:cstheme="minorBidi"/>
                <w:bCs/>
                <w:kern w:val="2"/>
                <w:sz w:val="21"/>
                <w:szCs w:val="21"/>
                <w:lang w:val="en-US" w:eastAsia="zh-CN" w:bidi="ar-SA"/>
              </w:rPr>
            </w:pPr>
          </w:p>
        </w:tc>
        <w:tc>
          <w:tcPr>
            <w:tcW w:w="888" w:type="dxa"/>
            <w:noWrap w:val="0"/>
            <w:vAlign w:val="center"/>
          </w:tcPr>
          <w:p>
            <w:pPr>
              <w:pStyle w:val="16"/>
              <w:kinsoku w:val="0"/>
              <w:overflowPunct w:val="0"/>
              <w:spacing w:line="400" w:lineRule="exact"/>
              <w:jc w:val="left"/>
              <w:rPr>
                <w:rFonts w:hint="eastAsia" w:ascii="仿宋" w:hAnsi="仿宋" w:eastAsia="仿宋" w:cstheme="minorBidi"/>
                <w:bCs/>
                <w:kern w:val="2"/>
                <w:sz w:val="21"/>
                <w:szCs w:val="21"/>
                <w:lang w:val="en-US" w:eastAsia="zh-CN" w:bidi="ar-SA"/>
              </w:rPr>
            </w:pPr>
          </w:p>
        </w:tc>
        <w:tc>
          <w:tcPr>
            <w:tcW w:w="962" w:type="dxa"/>
            <w:noWrap w:val="0"/>
            <w:vAlign w:val="center"/>
          </w:tcPr>
          <w:p>
            <w:pPr>
              <w:pStyle w:val="16"/>
              <w:kinsoku w:val="0"/>
              <w:overflowPunct w:val="0"/>
              <w:spacing w:line="400" w:lineRule="exact"/>
              <w:jc w:val="left"/>
              <w:rPr>
                <w:rFonts w:hint="eastAsia" w:ascii="仿宋" w:hAnsi="仿宋" w:eastAsia="仿宋" w:cstheme="minorBidi"/>
                <w:bCs/>
                <w:kern w:val="2"/>
                <w:sz w:val="21"/>
                <w:szCs w:val="21"/>
                <w:lang w:val="en-US" w:eastAsia="zh-CN" w:bidi="ar-SA"/>
              </w:rPr>
            </w:pPr>
          </w:p>
        </w:tc>
        <w:tc>
          <w:tcPr>
            <w:tcW w:w="1064" w:type="dxa"/>
            <w:noWrap w:val="0"/>
            <w:vAlign w:val="center"/>
          </w:tcPr>
          <w:p>
            <w:pPr>
              <w:pStyle w:val="16"/>
              <w:kinsoku w:val="0"/>
              <w:overflowPunct w:val="0"/>
              <w:spacing w:line="400" w:lineRule="exact"/>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6" w:type="dxa"/>
            <w:vMerge w:val="continue"/>
            <w:noWrap w:val="0"/>
            <w:vAlign w:val="center"/>
          </w:tcPr>
          <w:p>
            <w:pPr>
              <w:widowControl/>
              <w:spacing w:line="400" w:lineRule="exact"/>
              <w:jc w:val="center"/>
              <w:rPr>
                <w:rFonts w:hint="eastAsia" w:ascii="仿宋" w:hAnsi="仿宋" w:eastAsia="仿宋" w:cstheme="minorBidi"/>
                <w:bCs/>
                <w:kern w:val="2"/>
                <w:sz w:val="21"/>
                <w:szCs w:val="21"/>
                <w:lang w:val="en-US" w:eastAsia="zh-CN" w:bidi="ar-SA"/>
              </w:rPr>
            </w:pPr>
          </w:p>
        </w:tc>
        <w:tc>
          <w:tcPr>
            <w:tcW w:w="1050" w:type="dxa"/>
            <w:vMerge w:val="continue"/>
            <w:noWrap w:val="0"/>
            <w:vAlign w:val="center"/>
          </w:tcPr>
          <w:p>
            <w:pPr>
              <w:pStyle w:val="16"/>
              <w:kinsoku w:val="0"/>
              <w:overflowPunct w:val="0"/>
              <w:spacing w:line="460" w:lineRule="exact"/>
              <w:jc w:val="center"/>
              <w:rPr>
                <w:rFonts w:hint="eastAsia" w:ascii="仿宋" w:hAnsi="仿宋" w:eastAsia="仿宋" w:cstheme="minorBidi"/>
                <w:bCs/>
                <w:kern w:val="2"/>
                <w:sz w:val="21"/>
                <w:szCs w:val="21"/>
                <w:lang w:val="en-US" w:eastAsia="zh-CN" w:bidi="ar-SA"/>
              </w:rPr>
            </w:pPr>
          </w:p>
        </w:tc>
        <w:tc>
          <w:tcPr>
            <w:tcW w:w="4537" w:type="dxa"/>
            <w:noWrap w:val="0"/>
            <w:vAlign w:val="center"/>
          </w:tcPr>
          <w:p>
            <w:pPr>
              <w:widowControl/>
              <w:spacing w:line="5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质控结果人工修改。</w:t>
            </w:r>
          </w:p>
          <w:p>
            <w:pPr>
              <w:pStyle w:val="16"/>
              <w:kinsoku w:val="0"/>
              <w:overflowPunct w:val="0"/>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系统支持对AI质控结果进行修改，如：批注、新增或删除质控条目，并且在修改质控条目后实时更新该病历的缺陷总览等。</w:t>
            </w:r>
          </w:p>
        </w:tc>
        <w:tc>
          <w:tcPr>
            <w:tcW w:w="800" w:type="dxa"/>
            <w:noWrap w:val="0"/>
            <w:vAlign w:val="center"/>
          </w:tcPr>
          <w:p>
            <w:pPr>
              <w:pStyle w:val="16"/>
              <w:kinsoku w:val="0"/>
              <w:overflowPunct w:val="0"/>
              <w:spacing w:line="400" w:lineRule="exact"/>
              <w:jc w:val="left"/>
              <w:rPr>
                <w:rFonts w:hint="eastAsia" w:ascii="仿宋" w:hAnsi="仿宋" w:eastAsia="仿宋" w:cstheme="minorBidi"/>
                <w:bCs/>
                <w:kern w:val="2"/>
                <w:sz w:val="21"/>
                <w:szCs w:val="21"/>
                <w:lang w:val="en-US" w:eastAsia="zh-CN" w:bidi="ar-SA"/>
              </w:rPr>
            </w:pPr>
          </w:p>
        </w:tc>
        <w:tc>
          <w:tcPr>
            <w:tcW w:w="888" w:type="dxa"/>
            <w:noWrap w:val="0"/>
            <w:vAlign w:val="center"/>
          </w:tcPr>
          <w:p>
            <w:pPr>
              <w:pStyle w:val="16"/>
              <w:kinsoku w:val="0"/>
              <w:overflowPunct w:val="0"/>
              <w:spacing w:line="400" w:lineRule="exact"/>
              <w:jc w:val="left"/>
              <w:rPr>
                <w:rFonts w:hint="eastAsia" w:ascii="仿宋" w:hAnsi="仿宋" w:eastAsia="仿宋" w:cstheme="minorBidi"/>
                <w:bCs/>
                <w:kern w:val="2"/>
                <w:sz w:val="21"/>
                <w:szCs w:val="21"/>
                <w:lang w:val="en-US" w:eastAsia="zh-CN" w:bidi="ar-SA"/>
              </w:rPr>
            </w:pPr>
          </w:p>
        </w:tc>
        <w:tc>
          <w:tcPr>
            <w:tcW w:w="962" w:type="dxa"/>
            <w:noWrap w:val="0"/>
            <w:vAlign w:val="center"/>
          </w:tcPr>
          <w:p>
            <w:pPr>
              <w:pStyle w:val="16"/>
              <w:kinsoku w:val="0"/>
              <w:overflowPunct w:val="0"/>
              <w:spacing w:line="400" w:lineRule="exact"/>
              <w:jc w:val="left"/>
              <w:rPr>
                <w:rFonts w:hint="eastAsia" w:ascii="仿宋" w:hAnsi="仿宋" w:eastAsia="仿宋" w:cstheme="minorBidi"/>
                <w:bCs/>
                <w:kern w:val="2"/>
                <w:sz w:val="21"/>
                <w:szCs w:val="21"/>
                <w:lang w:val="en-US" w:eastAsia="zh-CN" w:bidi="ar-SA"/>
              </w:rPr>
            </w:pPr>
          </w:p>
        </w:tc>
        <w:tc>
          <w:tcPr>
            <w:tcW w:w="1064" w:type="dxa"/>
            <w:noWrap w:val="0"/>
            <w:vAlign w:val="center"/>
          </w:tcPr>
          <w:p>
            <w:pPr>
              <w:pStyle w:val="16"/>
              <w:kinsoku w:val="0"/>
              <w:overflowPunct w:val="0"/>
              <w:spacing w:line="400" w:lineRule="exact"/>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6" w:type="dxa"/>
            <w:vMerge w:val="continue"/>
            <w:noWrap w:val="0"/>
            <w:vAlign w:val="center"/>
          </w:tcPr>
          <w:p>
            <w:pPr>
              <w:widowControl/>
              <w:spacing w:line="400" w:lineRule="exact"/>
              <w:jc w:val="center"/>
              <w:rPr>
                <w:rFonts w:hint="eastAsia" w:ascii="仿宋" w:hAnsi="仿宋" w:eastAsia="仿宋" w:cstheme="minorBidi"/>
                <w:bCs/>
                <w:kern w:val="2"/>
                <w:sz w:val="21"/>
                <w:szCs w:val="21"/>
                <w:lang w:val="en-US" w:eastAsia="zh-CN" w:bidi="ar-SA"/>
              </w:rPr>
            </w:pPr>
          </w:p>
        </w:tc>
        <w:tc>
          <w:tcPr>
            <w:tcW w:w="1050" w:type="dxa"/>
            <w:noWrap w:val="0"/>
            <w:vAlign w:val="center"/>
          </w:tcPr>
          <w:p>
            <w:pPr>
              <w:pStyle w:val="16"/>
              <w:kinsoku w:val="0"/>
              <w:overflowPunct w:val="0"/>
              <w:spacing w:line="46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人工意见</w:t>
            </w:r>
          </w:p>
        </w:tc>
        <w:tc>
          <w:tcPr>
            <w:tcW w:w="4537" w:type="dxa"/>
            <w:noWrap w:val="0"/>
            <w:vAlign w:val="center"/>
          </w:tcPr>
          <w:p>
            <w:pPr>
              <w:pStyle w:val="16"/>
              <w:kinsoku w:val="0"/>
              <w:overflowPunct w:val="0"/>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系统支持在人工审核病历时，能够选择当前病历是否通过二次审核，并且有通过/驳回的操作，并支持人工备注原因。驳回病历在医生端有特殊标识提示，并显示驳回原因。</w:t>
            </w:r>
          </w:p>
        </w:tc>
        <w:tc>
          <w:tcPr>
            <w:tcW w:w="800" w:type="dxa"/>
            <w:noWrap w:val="0"/>
            <w:vAlign w:val="center"/>
          </w:tcPr>
          <w:p>
            <w:pPr>
              <w:pStyle w:val="16"/>
              <w:kinsoku w:val="0"/>
              <w:overflowPunct w:val="0"/>
              <w:spacing w:line="400" w:lineRule="exact"/>
              <w:jc w:val="left"/>
              <w:rPr>
                <w:rFonts w:hint="eastAsia" w:ascii="仿宋" w:hAnsi="仿宋" w:eastAsia="仿宋" w:cstheme="minorBidi"/>
                <w:bCs/>
                <w:kern w:val="2"/>
                <w:sz w:val="21"/>
                <w:szCs w:val="21"/>
                <w:lang w:val="en-US" w:eastAsia="zh-CN" w:bidi="ar-SA"/>
              </w:rPr>
            </w:pPr>
          </w:p>
        </w:tc>
        <w:tc>
          <w:tcPr>
            <w:tcW w:w="888" w:type="dxa"/>
            <w:noWrap w:val="0"/>
            <w:vAlign w:val="center"/>
          </w:tcPr>
          <w:p>
            <w:pPr>
              <w:pStyle w:val="16"/>
              <w:kinsoku w:val="0"/>
              <w:overflowPunct w:val="0"/>
              <w:spacing w:line="400" w:lineRule="exact"/>
              <w:jc w:val="left"/>
              <w:rPr>
                <w:rFonts w:hint="eastAsia" w:ascii="仿宋" w:hAnsi="仿宋" w:eastAsia="仿宋" w:cstheme="minorBidi"/>
                <w:bCs/>
                <w:kern w:val="2"/>
                <w:sz w:val="21"/>
                <w:szCs w:val="21"/>
                <w:lang w:val="en-US" w:eastAsia="zh-CN" w:bidi="ar-SA"/>
              </w:rPr>
            </w:pPr>
          </w:p>
        </w:tc>
        <w:tc>
          <w:tcPr>
            <w:tcW w:w="962" w:type="dxa"/>
            <w:noWrap w:val="0"/>
            <w:vAlign w:val="center"/>
          </w:tcPr>
          <w:p>
            <w:pPr>
              <w:pStyle w:val="16"/>
              <w:kinsoku w:val="0"/>
              <w:overflowPunct w:val="0"/>
              <w:spacing w:line="400" w:lineRule="exact"/>
              <w:jc w:val="left"/>
              <w:rPr>
                <w:rFonts w:hint="eastAsia" w:ascii="仿宋" w:hAnsi="仿宋" w:eastAsia="仿宋" w:cstheme="minorBidi"/>
                <w:bCs/>
                <w:kern w:val="2"/>
                <w:sz w:val="21"/>
                <w:szCs w:val="21"/>
                <w:lang w:val="en-US" w:eastAsia="zh-CN" w:bidi="ar-SA"/>
              </w:rPr>
            </w:pPr>
          </w:p>
        </w:tc>
        <w:tc>
          <w:tcPr>
            <w:tcW w:w="1064" w:type="dxa"/>
            <w:noWrap w:val="0"/>
            <w:vAlign w:val="center"/>
          </w:tcPr>
          <w:p>
            <w:pPr>
              <w:pStyle w:val="16"/>
              <w:kinsoku w:val="0"/>
              <w:overflowPunct w:val="0"/>
              <w:spacing w:line="400" w:lineRule="exact"/>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6" w:type="dxa"/>
            <w:vMerge w:val="continue"/>
            <w:noWrap w:val="0"/>
            <w:vAlign w:val="center"/>
          </w:tcPr>
          <w:p>
            <w:pPr>
              <w:widowControl/>
              <w:spacing w:line="400" w:lineRule="exact"/>
              <w:jc w:val="center"/>
              <w:rPr>
                <w:rFonts w:hint="eastAsia" w:ascii="仿宋" w:hAnsi="仿宋" w:eastAsia="仿宋" w:cstheme="minorBidi"/>
                <w:bCs/>
                <w:kern w:val="2"/>
                <w:sz w:val="21"/>
                <w:szCs w:val="21"/>
                <w:lang w:val="en-US" w:eastAsia="zh-CN" w:bidi="ar-SA"/>
              </w:rPr>
            </w:pPr>
          </w:p>
        </w:tc>
        <w:tc>
          <w:tcPr>
            <w:tcW w:w="1050" w:type="dxa"/>
            <w:vMerge w:val="restart"/>
            <w:noWrap w:val="0"/>
            <w:vAlign w:val="center"/>
          </w:tcPr>
          <w:p>
            <w:pPr>
              <w:pStyle w:val="16"/>
              <w:kinsoku w:val="0"/>
              <w:overflowPunct w:val="0"/>
              <w:spacing w:line="46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病历查询</w:t>
            </w:r>
          </w:p>
        </w:tc>
        <w:tc>
          <w:tcPr>
            <w:tcW w:w="4537" w:type="dxa"/>
            <w:noWrap w:val="0"/>
            <w:vAlign w:val="center"/>
          </w:tcPr>
          <w:p>
            <w:pPr>
              <w:pStyle w:val="16"/>
              <w:kinsoku w:val="0"/>
              <w:overflowPunct w:val="0"/>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系统应支持按科室/病区、出院日期、病历号、</w:t>
            </w:r>
            <w:r>
              <w:rPr>
                <w:rFonts w:hint="eastAsia" w:ascii="仿宋" w:hAnsi="仿宋" w:eastAsia="仿宋" w:cstheme="minorBidi"/>
                <w:bCs/>
                <w:kern w:val="2"/>
                <w:sz w:val="21"/>
                <w:szCs w:val="21"/>
                <w:lang w:val="en-US" w:eastAsia="zh-Hans" w:bidi="ar-SA"/>
              </w:rPr>
              <w:t>门诊</w:t>
            </w:r>
            <w:r>
              <w:rPr>
                <w:rFonts w:hint="eastAsia" w:ascii="仿宋" w:hAnsi="仿宋" w:eastAsia="仿宋" w:cstheme="minorBidi"/>
                <w:bCs/>
                <w:kern w:val="2"/>
                <w:sz w:val="21"/>
                <w:szCs w:val="21"/>
                <w:lang w:val="en-US" w:eastAsia="zh-CN" w:bidi="ar-SA"/>
              </w:rPr>
              <w:t>医生、患者姓名等维度进行搜索病历得分情况。</w:t>
            </w:r>
          </w:p>
        </w:tc>
        <w:tc>
          <w:tcPr>
            <w:tcW w:w="800" w:type="dxa"/>
            <w:noWrap w:val="0"/>
            <w:vAlign w:val="center"/>
          </w:tcPr>
          <w:p>
            <w:pPr>
              <w:pStyle w:val="16"/>
              <w:kinsoku w:val="0"/>
              <w:overflowPunct w:val="0"/>
              <w:spacing w:line="400" w:lineRule="exact"/>
              <w:jc w:val="left"/>
              <w:rPr>
                <w:rFonts w:hint="eastAsia" w:ascii="仿宋" w:hAnsi="仿宋" w:eastAsia="仿宋" w:cstheme="minorBidi"/>
                <w:bCs/>
                <w:kern w:val="2"/>
                <w:sz w:val="21"/>
                <w:szCs w:val="21"/>
                <w:lang w:val="en-US" w:eastAsia="zh-CN" w:bidi="ar-SA"/>
              </w:rPr>
            </w:pPr>
          </w:p>
        </w:tc>
        <w:tc>
          <w:tcPr>
            <w:tcW w:w="888" w:type="dxa"/>
            <w:noWrap w:val="0"/>
            <w:vAlign w:val="center"/>
          </w:tcPr>
          <w:p>
            <w:pPr>
              <w:pStyle w:val="16"/>
              <w:kinsoku w:val="0"/>
              <w:overflowPunct w:val="0"/>
              <w:spacing w:line="400" w:lineRule="exact"/>
              <w:jc w:val="left"/>
              <w:rPr>
                <w:rFonts w:hint="eastAsia" w:ascii="仿宋" w:hAnsi="仿宋" w:eastAsia="仿宋" w:cstheme="minorBidi"/>
                <w:bCs/>
                <w:kern w:val="2"/>
                <w:sz w:val="21"/>
                <w:szCs w:val="21"/>
                <w:lang w:val="en-US" w:eastAsia="zh-CN" w:bidi="ar-SA"/>
              </w:rPr>
            </w:pPr>
          </w:p>
        </w:tc>
        <w:tc>
          <w:tcPr>
            <w:tcW w:w="962" w:type="dxa"/>
            <w:noWrap w:val="0"/>
            <w:vAlign w:val="center"/>
          </w:tcPr>
          <w:p>
            <w:pPr>
              <w:pStyle w:val="16"/>
              <w:kinsoku w:val="0"/>
              <w:overflowPunct w:val="0"/>
              <w:spacing w:line="400" w:lineRule="exact"/>
              <w:jc w:val="left"/>
              <w:rPr>
                <w:rFonts w:hint="eastAsia" w:ascii="仿宋" w:hAnsi="仿宋" w:eastAsia="仿宋" w:cstheme="minorBidi"/>
                <w:bCs/>
                <w:kern w:val="2"/>
                <w:sz w:val="21"/>
                <w:szCs w:val="21"/>
                <w:lang w:val="en-US" w:eastAsia="zh-CN" w:bidi="ar-SA"/>
              </w:rPr>
            </w:pPr>
          </w:p>
        </w:tc>
        <w:tc>
          <w:tcPr>
            <w:tcW w:w="1064" w:type="dxa"/>
            <w:noWrap w:val="0"/>
            <w:vAlign w:val="center"/>
          </w:tcPr>
          <w:p>
            <w:pPr>
              <w:pStyle w:val="16"/>
              <w:kinsoku w:val="0"/>
              <w:overflowPunct w:val="0"/>
              <w:spacing w:line="400" w:lineRule="exact"/>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6" w:type="dxa"/>
            <w:vMerge w:val="continue"/>
            <w:noWrap w:val="0"/>
            <w:vAlign w:val="center"/>
          </w:tcPr>
          <w:p>
            <w:pPr>
              <w:widowControl/>
              <w:spacing w:line="400" w:lineRule="exact"/>
              <w:jc w:val="center"/>
              <w:rPr>
                <w:rFonts w:hint="eastAsia" w:ascii="仿宋" w:hAnsi="仿宋" w:eastAsia="仿宋" w:cstheme="minorBidi"/>
                <w:bCs/>
                <w:kern w:val="2"/>
                <w:sz w:val="21"/>
                <w:szCs w:val="21"/>
                <w:lang w:val="en-US" w:eastAsia="zh-CN" w:bidi="ar-SA"/>
              </w:rPr>
            </w:pPr>
          </w:p>
        </w:tc>
        <w:tc>
          <w:tcPr>
            <w:tcW w:w="1050" w:type="dxa"/>
            <w:vMerge w:val="continue"/>
            <w:noWrap w:val="0"/>
            <w:vAlign w:val="center"/>
          </w:tcPr>
          <w:p>
            <w:pPr>
              <w:pStyle w:val="16"/>
              <w:kinsoku w:val="0"/>
              <w:overflowPunct w:val="0"/>
              <w:spacing w:line="460" w:lineRule="exact"/>
              <w:jc w:val="center"/>
              <w:rPr>
                <w:rFonts w:hint="eastAsia" w:ascii="仿宋" w:hAnsi="仿宋" w:eastAsia="仿宋" w:cstheme="minorBidi"/>
                <w:bCs/>
                <w:kern w:val="2"/>
                <w:sz w:val="21"/>
                <w:szCs w:val="21"/>
                <w:lang w:val="en-US" w:eastAsia="zh-CN" w:bidi="ar-SA"/>
              </w:rPr>
            </w:pPr>
          </w:p>
        </w:tc>
        <w:tc>
          <w:tcPr>
            <w:tcW w:w="4537" w:type="dxa"/>
            <w:noWrap w:val="0"/>
            <w:vAlign w:val="center"/>
          </w:tcPr>
          <w:p>
            <w:pPr>
              <w:pStyle w:val="16"/>
              <w:kinsoku w:val="0"/>
              <w:overflowPunct w:val="0"/>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系统支持图表展示病历质控问题的详细数量，至少应包括：</w:t>
            </w:r>
            <w:r>
              <w:rPr>
                <w:rFonts w:hint="eastAsia" w:ascii="仿宋" w:hAnsi="仿宋" w:eastAsia="仿宋" w:cstheme="minorBidi"/>
                <w:bCs/>
                <w:kern w:val="2"/>
                <w:sz w:val="21"/>
                <w:szCs w:val="21"/>
                <w:lang w:val="en-US" w:eastAsia="zh-Hans" w:bidi="ar-SA"/>
              </w:rPr>
              <w:t>门诊初诊病历</w:t>
            </w:r>
            <w:r>
              <w:rPr>
                <w:rFonts w:hint="eastAsia" w:ascii="仿宋" w:hAnsi="仿宋" w:eastAsia="仿宋" w:cstheme="minorBidi"/>
                <w:bCs/>
                <w:kern w:val="2"/>
                <w:sz w:val="21"/>
                <w:szCs w:val="21"/>
                <w:lang w:val="en-US" w:eastAsia="zh-CN" w:bidi="ar-SA"/>
              </w:rPr>
              <w:t>问题数</w:t>
            </w:r>
            <w:r>
              <w:rPr>
                <w:rFonts w:hint="eastAsia" w:ascii="仿宋" w:hAnsi="仿宋" w:eastAsia="仿宋" w:cstheme="minorBidi"/>
                <w:bCs/>
                <w:kern w:val="2"/>
                <w:sz w:val="21"/>
                <w:szCs w:val="21"/>
                <w:lang w:val="en-US" w:eastAsia="zh-Hans" w:bidi="ar-SA"/>
              </w:rPr>
              <w:t>、门诊复诊病历问题数、补充续打病历问题数</w:t>
            </w:r>
            <w:r>
              <w:rPr>
                <w:rFonts w:hint="eastAsia" w:ascii="仿宋" w:hAnsi="仿宋" w:eastAsia="仿宋" w:cstheme="minorBidi"/>
                <w:bCs/>
                <w:kern w:val="2"/>
                <w:sz w:val="21"/>
                <w:szCs w:val="21"/>
                <w:lang w:val="en-US" w:eastAsia="zh-CN" w:bidi="ar-SA"/>
              </w:rPr>
              <w:t>，以及一致性问题数、完整性问题数、合规性问题数。</w:t>
            </w:r>
          </w:p>
        </w:tc>
        <w:tc>
          <w:tcPr>
            <w:tcW w:w="800" w:type="dxa"/>
            <w:noWrap w:val="0"/>
            <w:vAlign w:val="center"/>
          </w:tcPr>
          <w:p>
            <w:pPr>
              <w:pStyle w:val="16"/>
              <w:kinsoku w:val="0"/>
              <w:overflowPunct w:val="0"/>
              <w:spacing w:line="400" w:lineRule="exact"/>
              <w:jc w:val="left"/>
              <w:rPr>
                <w:rFonts w:hint="eastAsia" w:ascii="仿宋" w:hAnsi="仿宋" w:eastAsia="仿宋" w:cstheme="minorBidi"/>
                <w:bCs/>
                <w:kern w:val="2"/>
                <w:sz w:val="21"/>
                <w:szCs w:val="21"/>
                <w:lang w:val="en-US" w:eastAsia="zh-CN" w:bidi="ar-SA"/>
              </w:rPr>
            </w:pPr>
          </w:p>
        </w:tc>
        <w:tc>
          <w:tcPr>
            <w:tcW w:w="888" w:type="dxa"/>
            <w:noWrap w:val="0"/>
            <w:vAlign w:val="center"/>
          </w:tcPr>
          <w:p>
            <w:pPr>
              <w:pStyle w:val="16"/>
              <w:kinsoku w:val="0"/>
              <w:overflowPunct w:val="0"/>
              <w:spacing w:line="400" w:lineRule="exact"/>
              <w:jc w:val="left"/>
              <w:rPr>
                <w:rFonts w:hint="eastAsia" w:ascii="仿宋" w:hAnsi="仿宋" w:eastAsia="仿宋" w:cstheme="minorBidi"/>
                <w:bCs/>
                <w:kern w:val="2"/>
                <w:sz w:val="21"/>
                <w:szCs w:val="21"/>
                <w:lang w:val="en-US" w:eastAsia="zh-CN" w:bidi="ar-SA"/>
              </w:rPr>
            </w:pPr>
          </w:p>
        </w:tc>
        <w:tc>
          <w:tcPr>
            <w:tcW w:w="962" w:type="dxa"/>
            <w:noWrap w:val="0"/>
            <w:vAlign w:val="center"/>
          </w:tcPr>
          <w:p>
            <w:pPr>
              <w:pStyle w:val="16"/>
              <w:kinsoku w:val="0"/>
              <w:overflowPunct w:val="0"/>
              <w:spacing w:line="400" w:lineRule="exact"/>
              <w:jc w:val="left"/>
              <w:rPr>
                <w:rFonts w:hint="eastAsia" w:ascii="仿宋" w:hAnsi="仿宋" w:eastAsia="仿宋" w:cstheme="minorBidi"/>
                <w:bCs/>
                <w:kern w:val="2"/>
                <w:sz w:val="21"/>
                <w:szCs w:val="21"/>
                <w:lang w:val="en-US" w:eastAsia="zh-CN" w:bidi="ar-SA"/>
              </w:rPr>
            </w:pPr>
          </w:p>
        </w:tc>
        <w:tc>
          <w:tcPr>
            <w:tcW w:w="1064" w:type="dxa"/>
            <w:noWrap w:val="0"/>
            <w:vAlign w:val="center"/>
          </w:tcPr>
          <w:p>
            <w:pPr>
              <w:pStyle w:val="16"/>
              <w:kinsoku w:val="0"/>
              <w:overflowPunct w:val="0"/>
              <w:spacing w:line="400" w:lineRule="exact"/>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6" w:type="dxa"/>
            <w:vMerge w:val="continue"/>
            <w:noWrap w:val="0"/>
            <w:vAlign w:val="center"/>
          </w:tcPr>
          <w:p>
            <w:pPr>
              <w:widowControl/>
              <w:spacing w:line="400" w:lineRule="exact"/>
              <w:jc w:val="center"/>
              <w:rPr>
                <w:rFonts w:hint="eastAsia" w:ascii="仿宋" w:hAnsi="仿宋" w:eastAsia="仿宋" w:cstheme="minorBidi"/>
                <w:bCs/>
                <w:kern w:val="2"/>
                <w:sz w:val="21"/>
                <w:szCs w:val="21"/>
                <w:lang w:val="en-US" w:eastAsia="zh-CN" w:bidi="ar-SA"/>
              </w:rPr>
            </w:pPr>
          </w:p>
        </w:tc>
        <w:tc>
          <w:tcPr>
            <w:tcW w:w="1050" w:type="dxa"/>
            <w:noWrap w:val="0"/>
            <w:vAlign w:val="center"/>
          </w:tcPr>
          <w:p>
            <w:pPr>
              <w:pStyle w:val="16"/>
              <w:kinsoku w:val="0"/>
              <w:overflowPunct w:val="0"/>
              <w:spacing w:line="46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病案及诊疗资料360视图浏览</w:t>
            </w:r>
          </w:p>
        </w:tc>
        <w:tc>
          <w:tcPr>
            <w:tcW w:w="4537" w:type="dxa"/>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支持在质控过程中随时浏览患者本次住院的360维度信息，应包括：患者基本信息、</w:t>
            </w:r>
            <w:r>
              <w:rPr>
                <w:rFonts w:hint="eastAsia" w:ascii="仿宋" w:hAnsi="仿宋" w:eastAsia="仿宋" w:cstheme="minorBidi"/>
                <w:bCs/>
                <w:kern w:val="2"/>
                <w:sz w:val="21"/>
                <w:szCs w:val="21"/>
                <w:lang w:val="en-US" w:eastAsia="zh-Hans" w:bidi="ar-SA"/>
              </w:rPr>
              <w:t>门诊病历</w:t>
            </w:r>
            <w:r>
              <w:rPr>
                <w:rFonts w:hint="eastAsia" w:ascii="仿宋" w:hAnsi="仿宋" w:eastAsia="仿宋" w:cstheme="minorBidi"/>
                <w:bCs/>
                <w:kern w:val="2"/>
                <w:sz w:val="21"/>
                <w:szCs w:val="21"/>
                <w:lang w:val="en-US" w:eastAsia="zh-CN" w:bidi="ar-SA"/>
              </w:rPr>
              <w:t>、医嘱、检验检查结果等相关信息。</w:t>
            </w:r>
          </w:p>
        </w:tc>
        <w:tc>
          <w:tcPr>
            <w:tcW w:w="800" w:type="dxa"/>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c>
          <w:tcPr>
            <w:tcW w:w="888" w:type="dxa"/>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c>
          <w:tcPr>
            <w:tcW w:w="962" w:type="dxa"/>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c>
          <w:tcPr>
            <w:tcW w:w="1064" w:type="dxa"/>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6" w:type="dxa"/>
            <w:vMerge w:val="continue"/>
            <w:noWrap w:val="0"/>
            <w:vAlign w:val="center"/>
          </w:tcPr>
          <w:p>
            <w:pPr>
              <w:widowControl/>
              <w:spacing w:line="400" w:lineRule="exact"/>
              <w:jc w:val="center"/>
              <w:rPr>
                <w:rFonts w:hint="eastAsia" w:ascii="仿宋" w:hAnsi="仿宋" w:eastAsia="仿宋" w:cstheme="minorBidi"/>
                <w:bCs/>
                <w:kern w:val="2"/>
                <w:sz w:val="21"/>
                <w:szCs w:val="21"/>
                <w:lang w:val="en-US" w:eastAsia="zh-CN" w:bidi="ar-SA"/>
              </w:rPr>
            </w:pPr>
          </w:p>
        </w:tc>
        <w:tc>
          <w:tcPr>
            <w:tcW w:w="1050" w:type="dxa"/>
            <w:vMerge w:val="restart"/>
            <w:noWrap w:val="0"/>
            <w:vAlign w:val="center"/>
          </w:tcPr>
          <w:p>
            <w:pPr>
              <w:pStyle w:val="16"/>
              <w:kinsoku w:val="0"/>
              <w:overflowPunct w:val="0"/>
              <w:spacing w:line="46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病历内涵质控点</w:t>
            </w:r>
          </w:p>
        </w:tc>
        <w:tc>
          <w:tcPr>
            <w:tcW w:w="4537" w:type="dxa"/>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系统应覆盖40余个内涵质控点。</w:t>
            </w:r>
          </w:p>
        </w:tc>
        <w:tc>
          <w:tcPr>
            <w:tcW w:w="800" w:type="dxa"/>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c>
          <w:tcPr>
            <w:tcW w:w="888" w:type="dxa"/>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c>
          <w:tcPr>
            <w:tcW w:w="962" w:type="dxa"/>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c>
          <w:tcPr>
            <w:tcW w:w="1064" w:type="dxa"/>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6" w:type="dxa"/>
            <w:vMerge w:val="continue"/>
            <w:noWrap w:val="0"/>
            <w:vAlign w:val="center"/>
          </w:tcPr>
          <w:p>
            <w:pPr>
              <w:widowControl/>
              <w:spacing w:line="400" w:lineRule="exact"/>
              <w:jc w:val="center"/>
              <w:rPr>
                <w:rFonts w:hint="eastAsia" w:ascii="仿宋" w:hAnsi="仿宋" w:eastAsia="仿宋" w:cstheme="minorBidi"/>
                <w:bCs/>
                <w:kern w:val="2"/>
                <w:sz w:val="21"/>
                <w:szCs w:val="21"/>
                <w:lang w:val="en-US" w:eastAsia="zh-CN" w:bidi="ar-SA"/>
              </w:rPr>
            </w:pPr>
          </w:p>
        </w:tc>
        <w:tc>
          <w:tcPr>
            <w:tcW w:w="1050" w:type="dxa"/>
            <w:vMerge w:val="continue"/>
            <w:noWrap w:val="0"/>
            <w:vAlign w:val="center"/>
          </w:tcPr>
          <w:p>
            <w:pPr>
              <w:pStyle w:val="16"/>
              <w:kinsoku w:val="0"/>
              <w:overflowPunct w:val="0"/>
              <w:spacing w:line="460" w:lineRule="exact"/>
              <w:jc w:val="center"/>
              <w:rPr>
                <w:rFonts w:hint="eastAsia" w:ascii="仿宋" w:hAnsi="仿宋" w:eastAsia="仿宋" w:cstheme="minorBidi"/>
                <w:bCs/>
                <w:kern w:val="2"/>
                <w:sz w:val="21"/>
                <w:szCs w:val="21"/>
                <w:lang w:val="en-US" w:eastAsia="zh-CN" w:bidi="ar-SA"/>
              </w:rPr>
            </w:pPr>
          </w:p>
        </w:tc>
        <w:tc>
          <w:tcPr>
            <w:tcW w:w="4537" w:type="dxa"/>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主诉</w:t>
            </w:r>
            <w:r>
              <w:rPr>
                <w:rFonts w:hint="eastAsia" w:ascii="仿宋" w:hAnsi="仿宋" w:eastAsia="仿宋" w:cstheme="minorBidi"/>
                <w:bCs/>
                <w:kern w:val="2"/>
                <w:sz w:val="21"/>
                <w:szCs w:val="21"/>
                <w:lang w:val="en-US" w:eastAsia="zh-Hans" w:bidi="ar-SA"/>
              </w:rPr>
              <w:t>超过20个字</w:t>
            </w:r>
            <w:r>
              <w:rPr>
                <w:rFonts w:hint="eastAsia" w:ascii="仿宋" w:hAnsi="仿宋" w:eastAsia="仿宋" w:cstheme="minorBidi"/>
                <w:bCs/>
                <w:kern w:val="2"/>
                <w:sz w:val="21"/>
                <w:szCs w:val="21"/>
                <w:lang w:val="en-US" w:eastAsia="zh-CN" w:bidi="ar-SA"/>
              </w:rPr>
              <w:t>：</w:t>
            </w:r>
          </w:p>
          <w:p>
            <w:pPr>
              <w:widowControl/>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系统应自动判断</w:t>
            </w:r>
            <w:r>
              <w:rPr>
                <w:rFonts w:hint="eastAsia" w:ascii="仿宋" w:hAnsi="仿宋" w:eastAsia="仿宋" w:cstheme="minorBidi"/>
                <w:bCs/>
                <w:kern w:val="2"/>
                <w:sz w:val="21"/>
                <w:szCs w:val="21"/>
                <w:lang w:val="en-US" w:eastAsia="zh-Hans" w:bidi="ar-SA"/>
              </w:rPr>
              <w:t>门诊病历中</w:t>
            </w:r>
            <w:r>
              <w:rPr>
                <w:rFonts w:hint="eastAsia" w:ascii="仿宋" w:hAnsi="仿宋" w:eastAsia="仿宋" w:cstheme="minorBidi"/>
                <w:bCs/>
                <w:kern w:val="2"/>
                <w:sz w:val="21"/>
                <w:szCs w:val="21"/>
                <w:lang w:val="en-US" w:eastAsia="zh-CN" w:bidi="ar-SA"/>
              </w:rPr>
              <w:t>主诉内容（症状、查体、诊断、检查结果、检验结果等）</w:t>
            </w:r>
            <w:r>
              <w:rPr>
                <w:rFonts w:hint="eastAsia" w:ascii="仿宋" w:hAnsi="仿宋" w:eastAsia="仿宋" w:cstheme="minorBidi"/>
                <w:bCs/>
                <w:kern w:val="2"/>
                <w:sz w:val="21"/>
                <w:szCs w:val="21"/>
                <w:lang w:val="en-US" w:eastAsia="zh-Hans" w:bidi="ar-SA"/>
              </w:rPr>
              <w:t>是否超过20个字符数量</w:t>
            </w:r>
            <w:r>
              <w:rPr>
                <w:rFonts w:hint="eastAsia" w:ascii="仿宋" w:hAnsi="仿宋" w:eastAsia="仿宋" w:cstheme="minorBidi"/>
                <w:bCs/>
                <w:kern w:val="2"/>
                <w:sz w:val="21"/>
                <w:szCs w:val="21"/>
                <w:lang w:val="en-US" w:eastAsia="zh-CN" w:bidi="ar-SA"/>
              </w:rPr>
              <w:t>。</w:t>
            </w:r>
          </w:p>
        </w:tc>
        <w:tc>
          <w:tcPr>
            <w:tcW w:w="800" w:type="dxa"/>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c>
          <w:tcPr>
            <w:tcW w:w="888" w:type="dxa"/>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c>
          <w:tcPr>
            <w:tcW w:w="962" w:type="dxa"/>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c>
          <w:tcPr>
            <w:tcW w:w="1064" w:type="dxa"/>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6" w:type="dxa"/>
            <w:vMerge w:val="continue"/>
            <w:noWrap w:val="0"/>
            <w:vAlign w:val="center"/>
          </w:tcPr>
          <w:p>
            <w:pPr>
              <w:widowControl/>
              <w:spacing w:line="400" w:lineRule="exact"/>
              <w:jc w:val="center"/>
              <w:rPr>
                <w:rFonts w:hint="eastAsia" w:ascii="仿宋" w:hAnsi="仿宋" w:eastAsia="仿宋" w:cstheme="minorBidi"/>
                <w:bCs/>
                <w:kern w:val="2"/>
                <w:sz w:val="21"/>
                <w:szCs w:val="21"/>
                <w:lang w:val="en-US" w:eastAsia="zh-CN" w:bidi="ar-SA"/>
              </w:rPr>
            </w:pPr>
          </w:p>
        </w:tc>
        <w:tc>
          <w:tcPr>
            <w:tcW w:w="1050" w:type="dxa"/>
            <w:vMerge w:val="continue"/>
            <w:noWrap w:val="0"/>
            <w:vAlign w:val="center"/>
          </w:tcPr>
          <w:p>
            <w:pPr>
              <w:pStyle w:val="16"/>
              <w:kinsoku w:val="0"/>
              <w:overflowPunct w:val="0"/>
              <w:spacing w:line="460" w:lineRule="exact"/>
              <w:jc w:val="center"/>
              <w:rPr>
                <w:rFonts w:hint="eastAsia" w:ascii="仿宋" w:hAnsi="仿宋" w:eastAsia="仿宋" w:cstheme="minorBidi"/>
                <w:bCs/>
                <w:kern w:val="2"/>
                <w:sz w:val="21"/>
                <w:szCs w:val="21"/>
                <w:lang w:val="en-US" w:eastAsia="zh-CN" w:bidi="ar-SA"/>
              </w:rPr>
            </w:pPr>
          </w:p>
        </w:tc>
        <w:tc>
          <w:tcPr>
            <w:tcW w:w="4537" w:type="dxa"/>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主诉</w:t>
            </w:r>
            <w:r>
              <w:rPr>
                <w:rFonts w:hint="eastAsia" w:ascii="仿宋" w:hAnsi="仿宋" w:eastAsia="仿宋" w:cstheme="minorBidi"/>
                <w:bCs/>
                <w:kern w:val="2"/>
                <w:sz w:val="21"/>
                <w:szCs w:val="21"/>
                <w:lang w:val="en-US" w:eastAsia="zh-Hans" w:bidi="ar-SA"/>
              </w:rPr>
              <w:t>包含本次门诊诊断</w:t>
            </w:r>
            <w:r>
              <w:rPr>
                <w:rFonts w:hint="eastAsia" w:ascii="仿宋" w:hAnsi="仿宋" w:eastAsia="仿宋" w:cstheme="minorBidi"/>
                <w:bCs/>
                <w:kern w:val="2"/>
                <w:sz w:val="21"/>
                <w:szCs w:val="21"/>
                <w:lang w:val="en-US" w:eastAsia="zh-CN" w:bidi="ar-SA"/>
              </w:rPr>
              <w:t>：</w:t>
            </w:r>
          </w:p>
          <w:p>
            <w:pPr>
              <w:widowControl/>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主诉内容（症状、查体、诊断、检查/检验结果等）</w:t>
            </w:r>
            <w:r>
              <w:rPr>
                <w:rFonts w:hint="eastAsia" w:ascii="仿宋" w:hAnsi="仿宋" w:eastAsia="仿宋" w:cstheme="minorBidi"/>
                <w:bCs/>
                <w:kern w:val="2"/>
                <w:sz w:val="21"/>
                <w:szCs w:val="21"/>
                <w:lang w:val="en-US" w:eastAsia="zh-Hans" w:bidi="ar-SA"/>
              </w:rPr>
              <w:t>包含本次门诊诊断</w:t>
            </w:r>
            <w:r>
              <w:rPr>
                <w:rFonts w:hint="eastAsia" w:ascii="仿宋" w:hAnsi="仿宋" w:eastAsia="仿宋" w:cstheme="minorBidi"/>
                <w:bCs/>
                <w:kern w:val="2"/>
                <w:sz w:val="21"/>
                <w:szCs w:val="21"/>
                <w:lang w:val="en-US" w:eastAsia="zh-CN" w:bidi="ar-SA"/>
              </w:rPr>
              <w:t>。</w:t>
            </w:r>
          </w:p>
        </w:tc>
        <w:tc>
          <w:tcPr>
            <w:tcW w:w="800" w:type="dxa"/>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c>
          <w:tcPr>
            <w:tcW w:w="888" w:type="dxa"/>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c>
          <w:tcPr>
            <w:tcW w:w="962" w:type="dxa"/>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c>
          <w:tcPr>
            <w:tcW w:w="1064" w:type="dxa"/>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0" w:hRule="atLeast"/>
          <w:jc w:val="center"/>
        </w:trPr>
        <w:tc>
          <w:tcPr>
            <w:tcW w:w="516" w:type="dxa"/>
            <w:vMerge w:val="continue"/>
            <w:noWrap w:val="0"/>
            <w:vAlign w:val="center"/>
          </w:tcPr>
          <w:p>
            <w:pPr>
              <w:widowControl/>
              <w:spacing w:line="400" w:lineRule="exact"/>
              <w:jc w:val="center"/>
              <w:rPr>
                <w:rFonts w:hint="eastAsia" w:ascii="仿宋" w:hAnsi="仿宋" w:eastAsia="仿宋" w:cstheme="minorBidi"/>
                <w:bCs/>
                <w:kern w:val="2"/>
                <w:sz w:val="21"/>
                <w:szCs w:val="21"/>
                <w:lang w:val="en-US" w:eastAsia="zh-CN" w:bidi="ar-SA"/>
              </w:rPr>
            </w:pPr>
          </w:p>
        </w:tc>
        <w:tc>
          <w:tcPr>
            <w:tcW w:w="1050" w:type="dxa"/>
            <w:vMerge w:val="continue"/>
            <w:noWrap w:val="0"/>
            <w:vAlign w:val="center"/>
          </w:tcPr>
          <w:p>
            <w:pPr>
              <w:pStyle w:val="16"/>
              <w:kinsoku w:val="0"/>
              <w:overflowPunct w:val="0"/>
              <w:spacing w:line="460" w:lineRule="exact"/>
              <w:jc w:val="center"/>
              <w:rPr>
                <w:rFonts w:hint="eastAsia" w:ascii="仿宋" w:hAnsi="仿宋" w:eastAsia="仿宋" w:cstheme="minorBidi"/>
                <w:bCs/>
                <w:kern w:val="2"/>
                <w:sz w:val="21"/>
                <w:szCs w:val="21"/>
                <w:lang w:val="en-US" w:eastAsia="zh-CN" w:bidi="ar-SA"/>
              </w:rPr>
            </w:pPr>
          </w:p>
        </w:tc>
        <w:tc>
          <w:tcPr>
            <w:tcW w:w="4537" w:type="dxa"/>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病历内容矛盾：</w:t>
            </w:r>
          </w:p>
          <w:p>
            <w:pPr>
              <w:widowControl/>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w:t>
            </w:r>
            <w:r>
              <w:rPr>
                <w:rFonts w:hint="eastAsia" w:ascii="仿宋" w:hAnsi="仿宋" w:eastAsia="仿宋" w:cstheme="minorBidi"/>
                <w:bCs/>
                <w:kern w:val="2"/>
                <w:sz w:val="21"/>
                <w:szCs w:val="21"/>
                <w:lang w:val="en-US" w:eastAsia="zh-Hans" w:bidi="ar-SA"/>
              </w:rPr>
              <w:t>诊断与体格检查结果不匹配</w:t>
            </w:r>
            <w:r>
              <w:rPr>
                <w:rFonts w:hint="eastAsia" w:ascii="仿宋" w:hAnsi="仿宋" w:eastAsia="仿宋" w:cstheme="minorBidi"/>
                <w:bCs/>
                <w:kern w:val="2"/>
                <w:sz w:val="21"/>
                <w:szCs w:val="21"/>
                <w:lang w:val="en-US" w:eastAsia="zh-CN" w:bidi="ar-SA"/>
              </w:rPr>
              <w:t>（如行经中与已绝经）；</w:t>
            </w:r>
          </w:p>
          <w:p>
            <w:pPr>
              <w:widowControl/>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（2）</w:t>
            </w:r>
            <w:r>
              <w:rPr>
                <w:rFonts w:hint="eastAsia" w:ascii="仿宋" w:hAnsi="仿宋" w:eastAsia="仿宋" w:cstheme="minorBidi"/>
                <w:bCs/>
                <w:kern w:val="2"/>
                <w:sz w:val="21"/>
                <w:szCs w:val="21"/>
                <w:lang w:val="en-US" w:eastAsia="zh-Hans" w:bidi="ar-SA"/>
              </w:rPr>
              <w:t>诊断</w:t>
            </w:r>
            <w:r>
              <w:rPr>
                <w:rFonts w:hint="eastAsia" w:ascii="仿宋" w:hAnsi="仿宋" w:eastAsia="仿宋" w:cstheme="minorBidi"/>
                <w:bCs/>
                <w:kern w:val="2"/>
                <w:sz w:val="21"/>
                <w:szCs w:val="21"/>
                <w:lang w:val="en-US" w:eastAsia="zh-CN" w:bidi="ar-SA"/>
              </w:rPr>
              <w:t>与</w:t>
            </w:r>
            <w:r>
              <w:rPr>
                <w:rFonts w:hint="eastAsia" w:ascii="仿宋" w:hAnsi="仿宋" w:eastAsia="仿宋" w:cstheme="minorBidi"/>
                <w:bCs/>
                <w:kern w:val="2"/>
                <w:sz w:val="21"/>
                <w:szCs w:val="21"/>
                <w:lang w:val="en-US" w:eastAsia="zh-Hans" w:bidi="ar-SA"/>
              </w:rPr>
              <w:t>外伤史</w:t>
            </w:r>
            <w:r>
              <w:rPr>
                <w:rFonts w:hint="eastAsia" w:ascii="仿宋" w:hAnsi="仿宋" w:eastAsia="仿宋" w:cstheme="minorBidi"/>
                <w:bCs/>
                <w:kern w:val="2"/>
                <w:sz w:val="21"/>
                <w:szCs w:val="21"/>
                <w:lang w:val="en-US" w:eastAsia="zh-CN" w:bidi="ar-SA"/>
              </w:rPr>
              <w:t>矛盾（如</w:t>
            </w:r>
            <w:r>
              <w:rPr>
                <w:rFonts w:hint="eastAsia" w:ascii="仿宋" w:hAnsi="仿宋" w:eastAsia="仿宋" w:cstheme="minorBidi"/>
                <w:bCs/>
                <w:kern w:val="2"/>
                <w:sz w:val="21"/>
                <w:szCs w:val="21"/>
                <w:lang w:val="en-US" w:eastAsia="zh-Hans" w:bidi="ar-SA"/>
              </w:rPr>
              <w:t>诊断为外伤相关性诊断，既往史或者</w:t>
            </w:r>
            <w:r>
              <w:rPr>
                <w:rFonts w:hint="eastAsia" w:ascii="仿宋" w:hAnsi="仿宋" w:eastAsia="仿宋" w:cstheme="minorBidi"/>
                <w:bCs/>
                <w:kern w:val="2"/>
                <w:sz w:val="21"/>
                <w:szCs w:val="21"/>
                <w:lang w:val="en-US" w:eastAsia="zh-CN" w:bidi="ar-SA"/>
              </w:rPr>
              <w:t>现病史</w:t>
            </w:r>
            <w:r>
              <w:rPr>
                <w:rFonts w:hint="eastAsia" w:ascii="仿宋" w:hAnsi="仿宋" w:eastAsia="仿宋" w:cstheme="minorBidi"/>
                <w:bCs/>
                <w:kern w:val="2"/>
                <w:sz w:val="21"/>
                <w:szCs w:val="21"/>
                <w:lang w:val="en-US" w:eastAsia="zh-Hans" w:bidi="ar-SA"/>
              </w:rPr>
              <w:t>否认外伤史</w:t>
            </w:r>
            <w:r>
              <w:rPr>
                <w:rFonts w:hint="eastAsia" w:ascii="仿宋" w:hAnsi="仿宋" w:eastAsia="仿宋" w:cstheme="minorBidi"/>
                <w:bCs/>
                <w:kern w:val="2"/>
                <w:sz w:val="21"/>
                <w:szCs w:val="21"/>
                <w:lang w:val="en-US" w:eastAsia="zh-CN" w:bidi="ar-SA"/>
              </w:rPr>
              <w:t>）；</w:t>
            </w:r>
          </w:p>
          <w:p>
            <w:pPr>
              <w:widowControl/>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（3）</w:t>
            </w:r>
            <w:r>
              <w:rPr>
                <w:rFonts w:hint="eastAsia" w:ascii="仿宋" w:hAnsi="仿宋" w:eastAsia="仿宋" w:cstheme="minorBidi"/>
                <w:bCs/>
                <w:kern w:val="2"/>
                <w:sz w:val="21"/>
                <w:szCs w:val="21"/>
                <w:lang w:val="en-US" w:eastAsia="zh-Hans" w:bidi="ar-SA"/>
              </w:rPr>
              <w:t>诊断</w:t>
            </w:r>
            <w:r>
              <w:rPr>
                <w:rFonts w:hint="eastAsia" w:ascii="仿宋" w:hAnsi="仿宋" w:eastAsia="仿宋" w:cstheme="minorBidi"/>
                <w:bCs/>
                <w:kern w:val="2"/>
                <w:sz w:val="21"/>
                <w:szCs w:val="21"/>
                <w:lang w:val="en-US" w:eastAsia="zh-CN" w:bidi="ar-SA"/>
              </w:rPr>
              <w:t>与</w:t>
            </w:r>
            <w:r>
              <w:rPr>
                <w:rFonts w:hint="eastAsia" w:ascii="仿宋" w:hAnsi="仿宋" w:eastAsia="仿宋" w:cstheme="minorBidi"/>
                <w:bCs/>
                <w:kern w:val="2"/>
                <w:sz w:val="21"/>
                <w:szCs w:val="21"/>
                <w:lang w:val="en-US" w:eastAsia="zh-Hans" w:bidi="ar-SA"/>
              </w:rPr>
              <w:t>传染病史矛盾</w:t>
            </w:r>
            <w:r>
              <w:rPr>
                <w:rFonts w:hint="eastAsia" w:ascii="仿宋" w:hAnsi="仿宋" w:eastAsia="仿宋" w:cstheme="minorBidi"/>
                <w:bCs/>
                <w:kern w:val="2"/>
                <w:sz w:val="21"/>
                <w:szCs w:val="21"/>
                <w:lang w:val="en-US" w:eastAsia="zh-CN" w:bidi="ar-SA"/>
              </w:rPr>
              <w:t>（如</w:t>
            </w:r>
            <w:r>
              <w:rPr>
                <w:rFonts w:hint="eastAsia" w:ascii="仿宋" w:hAnsi="仿宋" w:eastAsia="仿宋" w:cstheme="minorBidi"/>
                <w:bCs/>
                <w:kern w:val="2"/>
                <w:sz w:val="21"/>
                <w:szCs w:val="21"/>
                <w:lang w:val="en-US" w:eastAsia="zh-Hans" w:bidi="ar-SA"/>
              </w:rPr>
              <w:t>诊断为传染病相关性诊断，既往史则无相关传染病史描述</w:t>
            </w:r>
            <w:r>
              <w:rPr>
                <w:rFonts w:hint="eastAsia" w:ascii="仿宋" w:hAnsi="仿宋" w:eastAsia="仿宋" w:cstheme="minorBidi"/>
                <w:bCs/>
                <w:kern w:val="2"/>
                <w:sz w:val="21"/>
                <w:szCs w:val="21"/>
                <w:lang w:val="en-US" w:eastAsia="zh-CN" w:bidi="ar-SA"/>
              </w:rPr>
              <w:t>）。</w:t>
            </w:r>
          </w:p>
        </w:tc>
        <w:tc>
          <w:tcPr>
            <w:tcW w:w="800" w:type="dxa"/>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c>
          <w:tcPr>
            <w:tcW w:w="888" w:type="dxa"/>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c>
          <w:tcPr>
            <w:tcW w:w="962" w:type="dxa"/>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c>
          <w:tcPr>
            <w:tcW w:w="1064" w:type="dxa"/>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6" w:type="dxa"/>
            <w:vMerge w:val="continue"/>
            <w:noWrap w:val="0"/>
            <w:vAlign w:val="center"/>
          </w:tcPr>
          <w:p>
            <w:pPr>
              <w:widowControl/>
              <w:spacing w:line="400" w:lineRule="exact"/>
              <w:jc w:val="center"/>
              <w:rPr>
                <w:rFonts w:hint="eastAsia" w:ascii="仿宋" w:hAnsi="仿宋" w:eastAsia="仿宋" w:cstheme="minorBidi"/>
                <w:bCs/>
                <w:kern w:val="2"/>
                <w:sz w:val="21"/>
                <w:szCs w:val="21"/>
                <w:lang w:val="en-US" w:eastAsia="zh-CN" w:bidi="ar-SA"/>
              </w:rPr>
            </w:pPr>
          </w:p>
        </w:tc>
        <w:tc>
          <w:tcPr>
            <w:tcW w:w="1050" w:type="dxa"/>
            <w:vMerge w:val="continue"/>
            <w:noWrap w:val="0"/>
            <w:vAlign w:val="center"/>
          </w:tcPr>
          <w:p>
            <w:pPr>
              <w:pStyle w:val="16"/>
              <w:kinsoku w:val="0"/>
              <w:overflowPunct w:val="0"/>
              <w:spacing w:line="460" w:lineRule="exact"/>
              <w:jc w:val="center"/>
              <w:rPr>
                <w:rFonts w:hint="eastAsia" w:ascii="仿宋" w:hAnsi="仿宋" w:eastAsia="仿宋" w:cstheme="minorBidi"/>
                <w:bCs/>
                <w:kern w:val="2"/>
                <w:sz w:val="21"/>
                <w:szCs w:val="21"/>
                <w:lang w:val="en-US" w:eastAsia="zh-CN" w:bidi="ar-SA"/>
              </w:rPr>
            </w:pPr>
          </w:p>
        </w:tc>
        <w:tc>
          <w:tcPr>
            <w:tcW w:w="4537" w:type="dxa"/>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带药与医嘱不符：文书出院带药存在用法用量用药频次信息的不完整</w:t>
            </w:r>
          </w:p>
        </w:tc>
        <w:tc>
          <w:tcPr>
            <w:tcW w:w="800" w:type="dxa"/>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c>
          <w:tcPr>
            <w:tcW w:w="888" w:type="dxa"/>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c>
          <w:tcPr>
            <w:tcW w:w="962" w:type="dxa"/>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c>
          <w:tcPr>
            <w:tcW w:w="1064" w:type="dxa"/>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3" w:hRule="atLeast"/>
          <w:jc w:val="center"/>
        </w:trPr>
        <w:tc>
          <w:tcPr>
            <w:tcW w:w="516" w:type="dxa"/>
            <w:vMerge w:val="continue"/>
            <w:noWrap w:val="0"/>
            <w:vAlign w:val="center"/>
          </w:tcPr>
          <w:p>
            <w:pPr>
              <w:widowControl/>
              <w:spacing w:line="400" w:lineRule="exact"/>
              <w:jc w:val="center"/>
              <w:rPr>
                <w:rFonts w:hint="eastAsia" w:ascii="仿宋" w:hAnsi="仿宋" w:eastAsia="仿宋" w:cstheme="minorBidi"/>
                <w:bCs/>
                <w:kern w:val="2"/>
                <w:sz w:val="21"/>
                <w:szCs w:val="21"/>
                <w:lang w:val="en-US" w:eastAsia="zh-CN" w:bidi="ar-SA"/>
              </w:rPr>
            </w:pPr>
          </w:p>
        </w:tc>
        <w:tc>
          <w:tcPr>
            <w:tcW w:w="1050" w:type="dxa"/>
            <w:noWrap w:val="0"/>
            <w:vAlign w:val="center"/>
          </w:tcPr>
          <w:p>
            <w:pPr>
              <w:pStyle w:val="16"/>
              <w:kinsoku w:val="0"/>
              <w:overflowPunct w:val="0"/>
              <w:spacing w:line="46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跟随源头信息修改而及时更新</w:t>
            </w:r>
          </w:p>
        </w:tc>
        <w:tc>
          <w:tcPr>
            <w:tcW w:w="4537" w:type="dxa"/>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系统支持原始诊疗信息查看，可实时主动抓取修改后的源头信息，及时提醒医生，有效降低因智能化层级较低的信息化建设产生的新质控问题。</w:t>
            </w:r>
          </w:p>
        </w:tc>
        <w:tc>
          <w:tcPr>
            <w:tcW w:w="800" w:type="dxa"/>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c>
          <w:tcPr>
            <w:tcW w:w="888" w:type="dxa"/>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c>
          <w:tcPr>
            <w:tcW w:w="962" w:type="dxa"/>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c>
          <w:tcPr>
            <w:tcW w:w="1064" w:type="dxa"/>
            <w:noWrap w:val="0"/>
            <w:vAlign w:val="center"/>
          </w:tcPr>
          <w:p>
            <w:pPr>
              <w:widowControl/>
              <w:spacing w:line="400" w:lineRule="exact"/>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6" w:type="dxa"/>
            <w:vMerge w:val="restart"/>
            <w:noWrap w:val="0"/>
            <w:vAlign w:val="center"/>
          </w:tcPr>
          <w:p>
            <w:pPr>
              <w:widowControl/>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质控规则维护</w:t>
            </w:r>
          </w:p>
        </w:tc>
        <w:tc>
          <w:tcPr>
            <w:tcW w:w="1050" w:type="dxa"/>
            <w:noWrap w:val="0"/>
            <w:vAlign w:val="center"/>
          </w:tcPr>
          <w:p>
            <w:pPr>
              <w:pStyle w:val="16"/>
              <w:kinsoku w:val="0"/>
              <w:overflowPunct w:val="0"/>
              <w:spacing w:line="46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规则列表</w:t>
            </w:r>
          </w:p>
        </w:tc>
        <w:tc>
          <w:tcPr>
            <w:tcW w:w="4537" w:type="dxa"/>
            <w:noWrap w:val="0"/>
            <w:vAlign w:val="center"/>
          </w:tcPr>
          <w:p>
            <w:pPr>
              <w:pStyle w:val="16"/>
              <w:kinsoku w:val="0"/>
              <w:overflowPunct w:val="0"/>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医院现场可在规则查询页面查看每条质控规则逻辑，也可根据医院实际质控情况对规则状态进行配置，在规则后方进行对该条规则进行关闭/开启配置。</w:t>
            </w:r>
          </w:p>
        </w:tc>
        <w:tc>
          <w:tcPr>
            <w:tcW w:w="800" w:type="dxa"/>
            <w:noWrap w:val="0"/>
            <w:vAlign w:val="center"/>
          </w:tcPr>
          <w:p>
            <w:pPr>
              <w:pStyle w:val="16"/>
              <w:kinsoku w:val="0"/>
              <w:overflowPunct w:val="0"/>
              <w:spacing w:line="400" w:lineRule="exact"/>
              <w:jc w:val="left"/>
              <w:rPr>
                <w:rFonts w:hint="eastAsia" w:ascii="仿宋" w:hAnsi="仿宋" w:eastAsia="仿宋" w:cstheme="minorBidi"/>
                <w:bCs/>
                <w:kern w:val="2"/>
                <w:sz w:val="21"/>
                <w:szCs w:val="21"/>
                <w:lang w:val="en-US" w:eastAsia="zh-CN" w:bidi="ar-SA"/>
              </w:rPr>
            </w:pPr>
          </w:p>
        </w:tc>
        <w:tc>
          <w:tcPr>
            <w:tcW w:w="888" w:type="dxa"/>
            <w:noWrap w:val="0"/>
            <w:vAlign w:val="center"/>
          </w:tcPr>
          <w:p>
            <w:pPr>
              <w:pStyle w:val="16"/>
              <w:kinsoku w:val="0"/>
              <w:overflowPunct w:val="0"/>
              <w:spacing w:line="400" w:lineRule="exact"/>
              <w:jc w:val="left"/>
              <w:rPr>
                <w:rFonts w:hint="eastAsia" w:ascii="仿宋" w:hAnsi="仿宋" w:eastAsia="仿宋" w:cstheme="minorBidi"/>
                <w:bCs/>
                <w:kern w:val="2"/>
                <w:sz w:val="21"/>
                <w:szCs w:val="21"/>
                <w:lang w:val="en-US" w:eastAsia="zh-CN" w:bidi="ar-SA"/>
              </w:rPr>
            </w:pPr>
          </w:p>
        </w:tc>
        <w:tc>
          <w:tcPr>
            <w:tcW w:w="962" w:type="dxa"/>
            <w:noWrap w:val="0"/>
            <w:vAlign w:val="center"/>
          </w:tcPr>
          <w:p>
            <w:pPr>
              <w:pStyle w:val="16"/>
              <w:kinsoku w:val="0"/>
              <w:overflowPunct w:val="0"/>
              <w:spacing w:line="400" w:lineRule="exact"/>
              <w:jc w:val="left"/>
              <w:rPr>
                <w:rFonts w:hint="eastAsia" w:ascii="仿宋" w:hAnsi="仿宋" w:eastAsia="仿宋" w:cstheme="minorBidi"/>
                <w:bCs/>
                <w:kern w:val="2"/>
                <w:sz w:val="21"/>
                <w:szCs w:val="21"/>
                <w:lang w:val="en-US" w:eastAsia="zh-CN" w:bidi="ar-SA"/>
              </w:rPr>
            </w:pPr>
          </w:p>
        </w:tc>
        <w:tc>
          <w:tcPr>
            <w:tcW w:w="1064" w:type="dxa"/>
            <w:noWrap w:val="0"/>
            <w:vAlign w:val="center"/>
          </w:tcPr>
          <w:p>
            <w:pPr>
              <w:pStyle w:val="16"/>
              <w:kinsoku w:val="0"/>
              <w:overflowPunct w:val="0"/>
              <w:spacing w:line="400" w:lineRule="exact"/>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6" w:type="dxa"/>
            <w:vMerge w:val="continue"/>
            <w:noWrap w:val="0"/>
            <w:vAlign w:val="center"/>
          </w:tcPr>
          <w:p>
            <w:pPr>
              <w:widowControl/>
              <w:spacing w:line="400" w:lineRule="exact"/>
              <w:jc w:val="center"/>
              <w:rPr>
                <w:rFonts w:hint="eastAsia" w:ascii="仿宋" w:hAnsi="仿宋" w:eastAsia="仿宋" w:cstheme="minorBidi"/>
                <w:bCs/>
                <w:kern w:val="2"/>
                <w:sz w:val="21"/>
                <w:szCs w:val="21"/>
                <w:lang w:val="en-US" w:eastAsia="zh-CN" w:bidi="ar-SA"/>
              </w:rPr>
            </w:pPr>
          </w:p>
        </w:tc>
        <w:tc>
          <w:tcPr>
            <w:tcW w:w="1050" w:type="dxa"/>
            <w:vMerge w:val="restart"/>
            <w:noWrap w:val="0"/>
            <w:vAlign w:val="center"/>
          </w:tcPr>
          <w:p>
            <w:pPr>
              <w:pStyle w:val="16"/>
              <w:kinsoku w:val="0"/>
              <w:overflowPunct w:val="0"/>
              <w:spacing w:line="46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规则管理</w:t>
            </w:r>
          </w:p>
        </w:tc>
        <w:tc>
          <w:tcPr>
            <w:tcW w:w="4537" w:type="dxa"/>
            <w:noWrap w:val="0"/>
            <w:vAlign w:val="center"/>
          </w:tcPr>
          <w:p>
            <w:pPr>
              <w:pStyle w:val="16"/>
              <w:kinsoku w:val="0"/>
              <w:overflowPunct w:val="0"/>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支持按规则原文、提醒类型、规则状态、提醒级别进行规则的查询。</w:t>
            </w:r>
          </w:p>
        </w:tc>
        <w:tc>
          <w:tcPr>
            <w:tcW w:w="800" w:type="dxa"/>
            <w:noWrap w:val="0"/>
            <w:vAlign w:val="center"/>
          </w:tcPr>
          <w:p>
            <w:pPr>
              <w:pStyle w:val="16"/>
              <w:kinsoku w:val="0"/>
              <w:overflowPunct w:val="0"/>
              <w:spacing w:line="400" w:lineRule="exact"/>
              <w:jc w:val="left"/>
              <w:rPr>
                <w:rFonts w:hint="eastAsia" w:ascii="仿宋" w:hAnsi="仿宋" w:eastAsia="仿宋" w:cstheme="minorBidi"/>
                <w:bCs/>
                <w:kern w:val="2"/>
                <w:sz w:val="21"/>
                <w:szCs w:val="21"/>
                <w:lang w:val="en-US" w:eastAsia="zh-CN" w:bidi="ar-SA"/>
              </w:rPr>
            </w:pPr>
          </w:p>
        </w:tc>
        <w:tc>
          <w:tcPr>
            <w:tcW w:w="888" w:type="dxa"/>
            <w:noWrap w:val="0"/>
            <w:vAlign w:val="center"/>
          </w:tcPr>
          <w:p>
            <w:pPr>
              <w:pStyle w:val="16"/>
              <w:kinsoku w:val="0"/>
              <w:overflowPunct w:val="0"/>
              <w:spacing w:line="400" w:lineRule="exact"/>
              <w:jc w:val="left"/>
              <w:rPr>
                <w:rFonts w:hint="eastAsia" w:ascii="仿宋" w:hAnsi="仿宋" w:eastAsia="仿宋" w:cstheme="minorBidi"/>
                <w:bCs/>
                <w:kern w:val="2"/>
                <w:sz w:val="21"/>
                <w:szCs w:val="21"/>
                <w:lang w:val="en-US" w:eastAsia="zh-CN" w:bidi="ar-SA"/>
              </w:rPr>
            </w:pPr>
          </w:p>
        </w:tc>
        <w:tc>
          <w:tcPr>
            <w:tcW w:w="962" w:type="dxa"/>
            <w:noWrap w:val="0"/>
            <w:vAlign w:val="center"/>
          </w:tcPr>
          <w:p>
            <w:pPr>
              <w:pStyle w:val="16"/>
              <w:kinsoku w:val="0"/>
              <w:overflowPunct w:val="0"/>
              <w:spacing w:line="400" w:lineRule="exact"/>
              <w:jc w:val="left"/>
              <w:rPr>
                <w:rFonts w:hint="eastAsia" w:ascii="仿宋" w:hAnsi="仿宋" w:eastAsia="仿宋" w:cstheme="minorBidi"/>
                <w:bCs/>
                <w:kern w:val="2"/>
                <w:sz w:val="21"/>
                <w:szCs w:val="21"/>
                <w:lang w:val="en-US" w:eastAsia="zh-CN" w:bidi="ar-SA"/>
              </w:rPr>
            </w:pPr>
          </w:p>
        </w:tc>
        <w:tc>
          <w:tcPr>
            <w:tcW w:w="1064" w:type="dxa"/>
            <w:noWrap w:val="0"/>
            <w:vAlign w:val="center"/>
          </w:tcPr>
          <w:p>
            <w:pPr>
              <w:pStyle w:val="16"/>
              <w:kinsoku w:val="0"/>
              <w:overflowPunct w:val="0"/>
              <w:spacing w:line="400" w:lineRule="exact"/>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516" w:type="dxa"/>
            <w:vMerge w:val="continue"/>
            <w:noWrap w:val="0"/>
            <w:vAlign w:val="center"/>
          </w:tcPr>
          <w:p>
            <w:pPr>
              <w:widowControl/>
              <w:spacing w:line="400" w:lineRule="exact"/>
              <w:jc w:val="center"/>
              <w:rPr>
                <w:rFonts w:hint="eastAsia" w:ascii="仿宋" w:hAnsi="仿宋" w:eastAsia="仿宋" w:cstheme="minorBidi"/>
                <w:bCs/>
                <w:kern w:val="2"/>
                <w:sz w:val="21"/>
                <w:szCs w:val="21"/>
                <w:lang w:val="en-US" w:eastAsia="zh-CN" w:bidi="ar-SA"/>
              </w:rPr>
            </w:pPr>
          </w:p>
        </w:tc>
        <w:tc>
          <w:tcPr>
            <w:tcW w:w="1050" w:type="dxa"/>
            <w:vMerge w:val="continue"/>
            <w:noWrap w:val="0"/>
            <w:vAlign w:val="center"/>
          </w:tcPr>
          <w:p>
            <w:pPr>
              <w:pStyle w:val="16"/>
              <w:kinsoku w:val="0"/>
              <w:overflowPunct w:val="0"/>
              <w:spacing w:line="460" w:lineRule="exact"/>
              <w:jc w:val="center"/>
              <w:rPr>
                <w:rFonts w:hint="eastAsia" w:ascii="仿宋" w:hAnsi="仿宋" w:eastAsia="仿宋" w:cstheme="minorBidi"/>
                <w:bCs/>
                <w:kern w:val="2"/>
                <w:sz w:val="21"/>
                <w:szCs w:val="21"/>
                <w:lang w:val="en-US" w:eastAsia="zh-CN" w:bidi="ar-SA"/>
              </w:rPr>
            </w:pPr>
          </w:p>
        </w:tc>
        <w:tc>
          <w:tcPr>
            <w:tcW w:w="4537" w:type="dxa"/>
            <w:noWrap w:val="0"/>
            <w:vAlign w:val="center"/>
          </w:tcPr>
          <w:p>
            <w:pPr>
              <w:pStyle w:val="16"/>
              <w:kinsoku w:val="0"/>
              <w:overflowPunct w:val="0"/>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支持对规则的生效状态进行开启/关闭。</w:t>
            </w:r>
          </w:p>
        </w:tc>
        <w:tc>
          <w:tcPr>
            <w:tcW w:w="800" w:type="dxa"/>
            <w:noWrap w:val="0"/>
            <w:vAlign w:val="center"/>
          </w:tcPr>
          <w:p>
            <w:pPr>
              <w:pStyle w:val="16"/>
              <w:kinsoku w:val="0"/>
              <w:overflowPunct w:val="0"/>
              <w:spacing w:line="400" w:lineRule="exact"/>
              <w:jc w:val="left"/>
              <w:rPr>
                <w:rFonts w:hint="eastAsia" w:ascii="仿宋" w:hAnsi="仿宋" w:eastAsia="仿宋" w:cstheme="minorBidi"/>
                <w:bCs/>
                <w:kern w:val="2"/>
                <w:sz w:val="21"/>
                <w:szCs w:val="21"/>
                <w:lang w:val="en-US" w:eastAsia="zh-CN" w:bidi="ar-SA"/>
              </w:rPr>
            </w:pPr>
          </w:p>
        </w:tc>
        <w:tc>
          <w:tcPr>
            <w:tcW w:w="888" w:type="dxa"/>
            <w:noWrap w:val="0"/>
            <w:vAlign w:val="center"/>
          </w:tcPr>
          <w:p>
            <w:pPr>
              <w:pStyle w:val="16"/>
              <w:kinsoku w:val="0"/>
              <w:overflowPunct w:val="0"/>
              <w:spacing w:line="400" w:lineRule="exact"/>
              <w:jc w:val="left"/>
              <w:rPr>
                <w:rFonts w:hint="eastAsia" w:ascii="仿宋" w:hAnsi="仿宋" w:eastAsia="仿宋" w:cstheme="minorBidi"/>
                <w:bCs/>
                <w:kern w:val="2"/>
                <w:sz w:val="21"/>
                <w:szCs w:val="21"/>
                <w:lang w:val="en-US" w:eastAsia="zh-CN" w:bidi="ar-SA"/>
              </w:rPr>
            </w:pPr>
          </w:p>
        </w:tc>
        <w:tc>
          <w:tcPr>
            <w:tcW w:w="962" w:type="dxa"/>
            <w:noWrap w:val="0"/>
            <w:vAlign w:val="center"/>
          </w:tcPr>
          <w:p>
            <w:pPr>
              <w:pStyle w:val="16"/>
              <w:kinsoku w:val="0"/>
              <w:overflowPunct w:val="0"/>
              <w:spacing w:line="400" w:lineRule="exact"/>
              <w:jc w:val="left"/>
              <w:rPr>
                <w:rFonts w:hint="eastAsia" w:ascii="仿宋" w:hAnsi="仿宋" w:eastAsia="仿宋" w:cstheme="minorBidi"/>
                <w:bCs/>
                <w:kern w:val="2"/>
                <w:sz w:val="21"/>
                <w:szCs w:val="21"/>
                <w:lang w:val="en-US" w:eastAsia="zh-CN" w:bidi="ar-SA"/>
              </w:rPr>
            </w:pPr>
          </w:p>
        </w:tc>
        <w:tc>
          <w:tcPr>
            <w:tcW w:w="1064" w:type="dxa"/>
            <w:noWrap w:val="0"/>
            <w:vAlign w:val="center"/>
          </w:tcPr>
          <w:p>
            <w:pPr>
              <w:pStyle w:val="16"/>
              <w:kinsoku w:val="0"/>
              <w:overflowPunct w:val="0"/>
              <w:spacing w:line="400" w:lineRule="exact"/>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6" w:type="dxa"/>
            <w:vMerge w:val="continue"/>
            <w:noWrap w:val="0"/>
            <w:vAlign w:val="center"/>
          </w:tcPr>
          <w:p>
            <w:pPr>
              <w:widowControl/>
              <w:spacing w:line="400" w:lineRule="exact"/>
              <w:jc w:val="center"/>
              <w:rPr>
                <w:rFonts w:hint="eastAsia" w:ascii="仿宋" w:hAnsi="仿宋" w:eastAsia="仿宋" w:cstheme="minorBidi"/>
                <w:bCs/>
                <w:kern w:val="2"/>
                <w:sz w:val="21"/>
                <w:szCs w:val="21"/>
                <w:lang w:val="en-US" w:eastAsia="zh-CN" w:bidi="ar-SA"/>
              </w:rPr>
            </w:pPr>
          </w:p>
        </w:tc>
        <w:tc>
          <w:tcPr>
            <w:tcW w:w="1050" w:type="dxa"/>
            <w:vMerge w:val="continue"/>
            <w:noWrap w:val="0"/>
            <w:vAlign w:val="center"/>
          </w:tcPr>
          <w:p>
            <w:pPr>
              <w:pStyle w:val="16"/>
              <w:kinsoku w:val="0"/>
              <w:overflowPunct w:val="0"/>
              <w:spacing w:line="460" w:lineRule="exact"/>
              <w:jc w:val="center"/>
              <w:rPr>
                <w:rFonts w:hint="eastAsia" w:ascii="仿宋" w:hAnsi="仿宋" w:eastAsia="仿宋" w:cstheme="minorBidi"/>
                <w:bCs/>
                <w:kern w:val="2"/>
                <w:sz w:val="21"/>
                <w:szCs w:val="21"/>
                <w:lang w:val="en-US" w:eastAsia="zh-CN" w:bidi="ar-SA"/>
              </w:rPr>
            </w:pPr>
          </w:p>
        </w:tc>
        <w:tc>
          <w:tcPr>
            <w:tcW w:w="4537" w:type="dxa"/>
            <w:noWrap w:val="0"/>
            <w:vAlign w:val="center"/>
          </w:tcPr>
          <w:p>
            <w:pPr>
              <w:pStyle w:val="16"/>
              <w:kinsoku w:val="0"/>
              <w:overflowPunct w:val="0"/>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支持规则级别的配置，支持3级配置，3级为最高级别。</w:t>
            </w:r>
          </w:p>
        </w:tc>
        <w:tc>
          <w:tcPr>
            <w:tcW w:w="800" w:type="dxa"/>
            <w:noWrap w:val="0"/>
            <w:vAlign w:val="center"/>
          </w:tcPr>
          <w:p>
            <w:pPr>
              <w:pStyle w:val="16"/>
              <w:kinsoku w:val="0"/>
              <w:overflowPunct w:val="0"/>
              <w:spacing w:line="400" w:lineRule="exact"/>
              <w:jc w:val="left"/>
              <w:rPr>
                <w:rFonts w:hint="eastAsia" w:ascii="仿宋" w:hAnsi="仿宋" w:eastAsia="仿宋" w:cstheme="minorBidi"/>
                <w:bCs/>
                <w:kern w:val="2"/>
                <w:sz w:val="21"/>
                <w:szCs w:val="21"/>
                <w:lang w:val="en-US" w:eastAsia="zh-CN" w:bidi="ar-SA"/>
              </w:rPr>
            </w:pPr>
          </w:p>
        </w:tc>
        <w:tc>
          <w:tcPr>
            <w:tcW w:w="888" w:type="dxa"/>
            <w:noWrap w:val="0"/>
            <w:vAlign w:val="center"/>
          </w:tcPr>
          <w:p>
            <w:pPr>
              <w:pStyle w:val="16"/>
              <w:kinsoku w:val="0"/>
              <w:overflowPunct w:val="0"/>
              <w:spacing w:line="400" w:lineRule="exact"/>
              <w:jc w:val="left"/>
              <w:rPr>
                <w:rFonts w:hint="eastAsia" w:ascii="仿宋" w:hAnsi="仿宋" w:eastAsia="仿宋" w:cstheme="minorBidi"/>
                <w:bCs/>
                <w:kern w:val="2"/>
                <w:sz w:val="21"/>
                <w:szCs w:val="21"/>
                <w:lang w:val="en-US" w:eastAsia="zh-CN" w:bidi="ar-SA"/>
              </w:rPr>
            </w:pPr>
          </w:p>
        </w:tc>
        <w:tc>
          <w:tcPr>
            <w:tcW w:w="962" w:type="dxa"/>
            <w:noWrap w:val="0"/>
            <w:vAlign w:val="center"/>
          </w:tcPr>
          <w:p>
            <w:pPr>
              <w:pStyle w:val="16"/>
              <w:kinsoku w:val="0"/>
              <w:overflowPunct w:val="0"/>
              <w:spacing w:line="400" w:lineRule="exact"/>
              <w:jc w:val="left"/>
              <w:rPr>
                <w:rFonts w:hint="eastAsia" w:ascii="仿宋" w:hAnsi="仿宋" w:eastAsia="仿宋" w:cstheme="minorBidi"/>
                <w:bCs/>
                <w:kern w:val="2"/>
                <w:sz w:val="21"/>
                <w:szCs w:val="21"/>
                <w:lang w:val="en-US" w:eastAsia="zh-CN" w:bidi="ar-SA"/>
              </w:rPr>
            </w:pPr>
          </w:p>
        </w:tc>
        <w:tc>
          <w:tcPr>
            <w:tcW w:w="1064" w:type="dxa"/>
            <w:noWrap w:val="0"/>
            <w:vAlign w:val="center"/>
          </w:tcPr>
          <w:p>
            <w:pPr>
              <w:pStyle w:val="16"/>
              <w:kinsoku w:val="0"/>
              <w:overflowPunct w:val="0"/>
              <w:spacing w:line="400" w:lineRule="exact"/>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6" w:type="dxa"/>
            <w:vMerge w:val="restart"/>
            <w:noWrap w:val="0"/>
            <w:vAlign w:val="center"/>
          </w:tcPr>
          <w:p>
            <w:pPr>
              <w:widowControl/>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系统管理</w:t>
            </w:r>
          </w:p>
        </w:tc>
        <w:tc>
          <w:tcPr>
            <w:tcW w:w="1050" w:type="dxa"/>
            <w:vMerge w:val="restart"/>
            <w:noWrap w:val="0"/>
            <w:vAlign w:val="center"/>
          </w:tcPr>
          <w:p>
            <w:pPr>
              <w:pStyle w:val="16"/>
              <w:kinsoku w:val="0"/>
              <w:overflowPunct w:val="0"/>
              <w:spacing w:line="46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用户管理</w:t>
            </w:r>
          </w:p>
        </w:tc>
        <w:tc>
          <w:tcPr>
            <w:tcW w:w="4537" w:type="dxa"/>
            <w:noWrap w:val="0"/>
            <w:vAlign w:val="center"/>
          </w:tcPr>
          <w:p>
            <w:pPr>
              <w:pStyle w:val="16"/>
              <w:kinsoku w:val="0"/>
              <w:overflowPunct w:val="0"/>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提供用户使用系统的授权控制。</w:t>
            </w:r>
          </w:p>
        </w:tc>
        <w:tc>
          <w:tcPr>
            <w:tcW w:w="800" w:type="dxa"/>
            <w:noWrap w:val="0"/>
            <w:vAlign w:val="center"/>
          </w:tcPr>
          <w:p>
            <w:pPr>
              <w:pStyle w:val="16"/>
              <w:kinsoku w:val="0"/>
              <w:overflowPunct w:val="0"/>
              <w:spacing w:line="400" w:lineRule="exact"/>
              <w:jc w:val="left"/>
              <w:rPr>
                <w:rFonts w:hint="eastAsia" w:ascii="仿宋" w:hAnsi="仿宋" w:eastAsia="仿宋" w:cstheme="minorBidi"/>
                <w:bCs/>
                <w:kern w:val="2"/>
                <w:sz w:val="21"/>
                <w:szCs w:val="21"/>
                <w:lang w:val="en-US" w:eastAsia="zh-CN" w:bidi="ar-SA"/>
              </w:rPr>
            </w:pPr>
          </w:p>
        </w:tc>
        <w:tc>
          <w:tcPr>
            <w:tcW w:w="888" w:type="dxa"/>
            <w:noWrap w:val="0"/>
            <w:vAlign w:val="center"/>
          </w:tcPr>
          <w:p>
            <w:pPr>
              <w:pStyle w:val="16"/>
              <w:kinsoku w:val="0"/>
              <w:overflowPunct w:val="0"/>
              <w:spacing w:line="400" w:lineRule="exact"/>
              <w:jc w:val="left"/>
              <w:rPr>
                <w:rFonts w:hint="eastAsia" w:ascii="仿宋" w:hAnsi="仿宋" w:eastAsia="仿宋" w:cstheme="minorBidi"/>
                <w:bCs/>
                <w:kern w:val="2"/>
                <w:sz w:val="21"/>
                <w:szCs w:val="21"/>
                <w:lang w:val="en-US" w:eastAsia="zh-CN" w:bidi="ar-SA"/>
              </w:rPr>
            </w:pPr>
          </w:p>
        </w:tc>
        <w:tc>
          <w:tcPr>
            <w:tcW w:w="962" w:type="dxa"/>
            <w:noWrap w:val="0"/>
            <w:vAlign w:val="center"/>
          </w:tcPr>
          <w:p>
            <w:pPr>
              <w:pStyle w:val="16"/>
              <w:kinsoku w:val="0"/>
              <w:overflowPunct w:val="0"/>
              <w:spacing w:line="400" w:lineRule="exact"/>
              <w:jc w:val="left"/>
              <w:rPr>
                <w:rFonts w:hint="eastAsia" w:ascii="仿宋" w:hAnsi="仿宋" w:eastAsia="仿宋" w:cstheme="minorBidi"/>
                <w:bCs/>
                <w:kern w:val="2"/>
                <w:sz w:val="21"/>
                <w:szCs w:val="21"/>
                <w:lang w:val="en-US" w:eastAsia="zh-CN" w:bidi="ar-SA"/>
              </w:rPr>
            </w:pPr>
          </w:p>
        </w:tc>
        <w:tc>
          <w:tcPr>
            <w:tcW w:w="1064" w:type="dxa"/>
            <w:noWrap w:val="0"/>
            <w:vAlign w:val="center"/>
          </w:tcPr>
          <w:p>
            <w:pPr>
              <w:pStyle w:val="16"/>
              <w:kinsoku w:val="0"/>
              <w:overflowPunct w:val="0"/>
              <w:spacing w:line="400" w:lineRule="exact"/>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6" w:type="dxa"/>
            <w:vMerge w:val="continue"/>
            <w:noWrap w:val="0"/>
            <w:vAlign w:val="center"/>
          </w:tcPr>
          <w:p>
            <w:pPr>
              <w:widowControl/>
              <w:spacing w:line="400" w:lineRule="exact"/>
              <w:jc w:val="center"/>
              <w:rPr>
                <w:rFonts w:hint="eastAsia" w:ascii="仿宋" w:hAnsi="仿宋" w:eastAsia="仿宋" w:cstheme="minorBidi"/>
                <w:bCs/>
                <w:kern w:val="2"/>
                <w:sz w:val="21"/>
                <w:szCs w:val="21"/>
                <w:lang w:val="en-US" w:eastAsia="zh-CN" w:bidi="ar-SA"/>
              </w:rPr>
            </w:pPr>
          </w:p>
        </w:tc>
        <w:tc>
          <w:tcPr>
            <w:tcW w:w="1050" w:type="dxa"/>
            <w:vMerge w:val="continue"/>
            <w:noWrap w:val="0"/>
            <w:vAlign w:val="center"/>
          </w:tcPr>
          <w:p>
            <w:pPr>
              <w:pStyle w:val="16"/>
              <w:kinsoku w:val="0"/>
              <w:overflowPunct w:val="0"/>
              <w:spacing w:line="460" w:lineRule="exact"/>
              <w:jc w:val="center"/>
              <w:rPr>
                <w:rFonts w:hint="eastAsia" w:ascii="仿宋" w:hAnsi="仿宋" w:eastAsia="仿宋" w:cstheme="minorBidi"/>
                <w:bCs/>
                <w:kern w:val="2"/>
                <w:sz w:val="21"/>
                <w:szCs w:val="21"/>
                <w:lang w:val="en-US" w:eastAsia="zh-CN" w:bidi="ar-SA"/>
              </w:rPr>
            </w:pPr>
          </w:p>
        </w:tc>
        <w:tc>
          <w:tcPr>
            <w:tcW w:w="4537" w:type="dxa"/>
            <w:noWrap w:val="0"/>
            <w:vAlign w:val="center"/>
          </w:tcPr>
          <w:p>
            <w:pPr>
              <w:pStyle w:val="16"/>
              <w:kinsoku w:val="0"/>
              <w:overflowPunct w:val="0"/>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支持用户功能权限的配置管理。</w:t>
            </w:r>
          </w:p>
        </w:tc>
        <w:tc>
          <w:tcPr>
            <w:tcW w:w="800" w:type="dxa"/>
            <w:noWrap w:val="0"/>
            <w:vAlign w:val="center"/>
          </w:tcPr>
          <w:p>
            <w:pPr>
              <w:pStyle w:val="16"/>
              <w:kinsoku w:val="0"/>
              <w:overflowPunct w:val="0"/>
              <w:spacing w:line="400" w:lineRule="exact"/>
              <w:jc w:val="left"/>
              <w:rPr>
                <w:rFonts w:hint="eastAsia" w:ascii="仿宋" w:hAnsi="仿宋" w:eastAsia="仿宋" w:cstheme="minorBidi"/>
                <w:bCs/>
                <w:kern w:val="2"/>
                <w:sz w:val="21"/>
                <w:szCs w:val="21"/>
                <w:lang w:val="en-US" w:eastAsia="zh-CN" w:bidi="ar-SA"/>
              </w:rPr>
            </w:pPr>
          </w:p>
        </w:tc>
        <w:tc>
          <w:tcPr>
            <w:tcW w:w="888" w:type="dxa"/>
            <w:noWrap w:val="0"/>
            <w:vAlign w:val="center"/>
          </w:tcPr>
          <w:p>
            <w:pPr>
              <w:pStyle w:val="16"/>
              <w:kinsoku w:val="0"/>
              <w:overflowPunct w:val="0"/>
              <w:spacing w:line="400" w:lineRule="exact"/>
              <w:jc w:val="left"/>
              <w:rPr>
                <w:rFonts w:hint="eastAsia" w:ascii="仿宋" w:hAnsi="仿宋" w:eastAsia="仿宋" w:cstheme="minorBidi"/>
                <w:bCs/>
                <w:kern w:val="2"/>
                <w:sz w:val="21"/>
                <w:szCs w:val="21"/>
                <w:lang w:val="en-US" w:eastAsia="zh-CN" w:bidi="ar-SA"/>
              </w:rPr>
            </w:pPr>
          </w:p>
        </w:tc>
        <w:tc>
          <w:tcPr>
            <w:tcW w:w="962" w:type="dxa"/>
            <w:noWrap w:val="0"/>
            <w:vAlign w:val="center"/>
          </w:tcPr>
          <w:p>
            <w:pPr>
              <w:pStyle w:val="16"/>
              <w:kinsoku w:val="0"/>
              <w:overflowPunct w:val="0"/>
              <w:spacing w:line="400" w:lineRule="exact"/>
              <w:jc w:val="left"/>
              <w:rPr>
                <w:rFonts w:hint="eastAsia" w:ascii="仿宋" w:hAnsi="仿宋" w:eastAsia="仿宋" w:cstheme="minorBidi"/>
                <w:bCs/>
                <w:kern w:val="2"/>
                <w:sz w:val="21"/>
                <w:szCs w:val="21"/>
                <w:lang w:val="en-US" w:eastAsia="zh-CN" w:bidi="ar-SA"/>
              </w:rPr>
            </w:pPr>
          </w:p>
        </w:tc>
        <w:tc>
          <w:tcPr>
            <w:tcW w:w="1064" w:type="dxa"/>
            <w:noWrap w:val="0"/>
            <w:vAlign w:val="center"/>
          </w:tcPr>
          <w:p>
            <w:pPr>
              <w:pStyle w:val="16"/>
              <w:kinsoku w:val="0"/>
              <w:overflowPunct w:val="0"/>
              <w:spacing w:line="400" w:lineRule="exact"/>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6" w:type="dxa"/>
            <w:vMerge w:val="continue"/>
            <w:noWrap w:val="0"/>
            <w:vAlign w:val="center"/>
          </w:tcPr>
          <w:p>
            <w:pPr>
              <w:widowControl/>
              <w:spacing w:line="400" w:lineRule="exact"/>
              <w:jc w:val="center"/>
              <w:rPr>
                <w:rFonts w:hint="eastAsia" w:ascii="仿宋" w:hAnsi="仿宋" w:eastAsia="仿宋" w:cstheme="minorBidi"/>
                <w:bCs/>
                <w:kern w:val="2"/>
                <w:sz w:val="21"/>
                <w:szCs w:val="21"/>
                <w:lang w:val="en-US" w:eastAsia="zh-CN" w:bidi="ar-SA"/>
              </w:rPr>
            </w:pPr>
          </w:p>
        </w:tc>
        <w:tc>
          <w:tcPr>
            <w:tcW w:w="1050" w:type="dxa"/>
            <w:vMerge w:val="continue"/>
            <w:noWrap w:val="0"/>
            <w:vAlign w:val="center"/>
          </w:tcPr>
          <w:p>
            <w:pPr>
              <w:pStyle w:val="16"/>
              <w:kinsoku w:val="0"/>
              <w:overflowPunct w:val="0"/>
              <w:spacing w:line="460" w:lineRule="exact"/>
              <w:jc w:val="center"/>
              <w:rPr>
                <w:rFonts w:hint="eastAsia" w:ascii="仿宋" w:hAnsi="仿宋" w:eastAsia="仿宋" w:cstheme="minorBidi"/>
                <w:bCs/>
                <w:kern w:val="2"/>
                <w:sz w:val="21"/>
                <w:szCs w:val="21"/>
                <w:lang w:val="en-US" w:eastAsia="zh-CN" w:bidi="ar-SA"/>
              </w:rPr>
            </w:pPr>
          </w:p>
        </w:tc>
        <w:tc>
          <w:tcPr>
            <w:tcW w:w="4537" w:type="dxa"/>
            <w:noWrap w:val="0"/>
            <w:vAlign w:val="center"/>
          </w:tcPr>
          <w:p>
            <w:pPr>
              <w:pStyle w:val="16"/>
              <w:kinsoku w:val="0"/>
              <w:overflowPunct w:val="0"/>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支持用户数据权限范围的授权管理。</w:t>
            </w:r>
          </w:p>
        </w:tc>
        <w:tc>
          <w:tcPr>
            <w:tcW w:w="800" w:type="dxa"/>
            <w:noWrap w:val="0"/>
            <w:vAlign w:val="center"/>
          </w:tcPr>
          <w:p>
            <w:pPr>
              <w:pStyle w:val="16"/>
              <w:kinsoku w:val="0"/>
              <w:overflowPunct w:val="0"/>
              <w:spacing w:line="400" w:lineRule="exact"/>
              <w:jc w:val="left"/>
              <w:rPr>
                <w:rFonts w:hint="eastAsia" w:ascii="仿宋" w:hAnsi="仿宋" w:eastAsia="仿宋" w:cstheme="minorBidi"/>
                <w:bCs/>
                <w:kern w:val="2"/>
                <w:sz w:val="21"/>
                <w:szCs w:val="21"/>
                <w:lang w:val="en-US" w:eastAsia="zh-CN" w:bidi="ar-SA"/>
              </w:rPr>
            </w:pPr>
          </w:p>
        </w:tc>
        <w:tc>
          <w:tcPr>
            <w:tcW w:w="888" w:type="dxa"/>
            <w:noWrap w:val="0"/>
            <w:vAlign w:val="center"/>
          </w:tcPr>
          <w:p>
            <w:pPr>
              <w:pStyle w:val="16"/>
              <w:kinsoku w:val="0"/>
              <w:overflowPunct w:val="0"/>
              <w:spacing w:line="400" w:lineRule="exact"/>
              <w:jc w:val="left"/>
              <w:rPr>
                <w:rFonts w:hint="eastAsia" w:ascii="仿宋" w:hAnsi="仿宋" w:eastAsia="仿宋" w:cstheme="minorBidi"/>
                <w:bCs/>
                <w:kern w:val="2"/>
                <w:sz w:val="21"/>
                <w:szCs w:val="21"/>
                <w:lang w:val="en-US" w:eastAsia="zh-CN" w:bidi="ar-SA"/>
              </w:rPr>
            </w:pPr>
          </w:p>
        </w:tc>
        <w:tc>
          <w:tcPr>
            <w:tcW w:w="962" w:type="dxa"/>
            <w:noWrap w:val="0"/>
            <w:vAlign w:val="center"/>
          </w:tcPr>
          <w:p>
            <w:pPr>
              <w:pStyle w:val="16"/>
              <w:kinsoku w:val="0"/>
              <w:overflowPunct w:val="0"/>
              <w:spacing w:line="400" w:lineRule="exact"/>
              <w:jc w:val="left"/>
              <w:rPr>
                <w:rFonts w:hint="eastAsia" w:ascii="仿宋" w:hAnsi="仿宋" w:eastAsia="仿宋" w:cstheme="minorBidi"/>
                <w:bCs/>
                <w:kern w:val="2"/>
                <w:sz w:val="21"/>
                <w:szCs w:val="21"/>
                <w:lang w:val="en-US" w:eastAsia="zh-CN" w:bidi="ar-SA"/>
              </w:rPr>
            </w:pPr>
          </w:p>
        </w:tc>
        <w:tc>
          <w:tcPr>
            <w:tcW w:w="1064" w:type="dxa"/>
            <w:noWrap w:val="0"/>
            <w:vAlign w:val="center"/>
          </w:tcPr>
          <w:p>
            <w:pPr>
              <w:pStyle w:val="16"/>
              <w:kinsoku w:val="0"/>
              <w:overflowPunct w:val="0"/>
              <w:spacing w:line="400" w:lineRule="exact"/>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6" w:type="dxa"/>
            <w:vMerge w:val="continue"/>
            <w:noWrap w:val="0"/>
            <w:vAlign w:val="center"/>
          </w:tcPr>
          <w:p>
            <w:pPr>
              <w:widowControl/>
              <w:spacing w:line="400" w:lineRule="exact"/>
              <w:jc w:val="center"/>
              <w:rPr>
                <w:rFonts w:hint="eastAsia" w:ascii="仿宋" w:hAnsi="仿宋" w:eastAsia="仿宋" w:cstheme="minorBidi"/>
                <w:bCs/>
                <w:kern w:val="2"/>
                <w:sz w:val="21"/>
                <w:szCs w:val="21"/>
                <w:lang w:val="en-US" w:eastAsia="zh-CN" w:bidi="ar-SA"/>
              </w:rPr>
            </w:pPr>
          </w:p>
        </w:tc>
        <w:tc>
          <w:tcPr>
            <w:tcW w:w="1050" w:type="dxa"/>
            <w:noWrap w:val="0"/>
            <w:vAlign w:val="center"/>
          </w:tcPr>
          <w:p>
            <w:pPr>
              <w:pStyle w:val="16"/>
              <w:kinsoku w:val="0"/>
              <w:overflowPunct w:val="0"/>
              <w:spacing w:line="46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ICD10查询</w:t>
            </w:r>
          </w:p>
        </w:tc>
        <w:tc>
          <w:tcPr>
            <w:tcW w:w="4537" w:type="dxa"/>
            <w:noWrap w:val="0"/>
            <w:vAlign w:val="center"/>
          </w:tcPr>
          <w:p>
            <w:pPr>
              <w:pStyle w:val="16"/>
              <w:kinsoku w:val="0"/>
              <w:overflowPunct w:val="0"/>
              <w:spacing w:line="400" w:lineRule="exact"/>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ICD10诊断库查询，提供诊断库检查功能。</w:t>
            </w:r>
          </w:p>
        </w:tc>
        <w:tc>
          <w:tcPr>
            <w:tcW w:w="800" w:type="dxa"/>
            <w:noWrap w:val="0"/>
            <w:vAlign w:val="center"/>
          </w:tcPr>
          <w:p>
            <w:pPr>
              <w:pStyle w:val="16"/>
              <w:kinsoku w:val="0"/>
              <w:overflowPunct w:val="0"/>
              <w:spacing w:line="400" w:lineRule="exact"/>
              <w:jc w:val="left"/>
              <w:rPr>
                <w:rFonts w:hint="eastAsia" w:ascii="仿宋" w:hAnsi="仿宋" w:eastAsia="仿宋" w:cstheme="minorBidi"/>
                <w:bCs/>
                <w:kern w:val="2"/>
                <w:sz w:val="21"/>
                <w:szCs w:val="21"/>
                <w:lang w:val="en-US" w:eastAsia="zh-CN" w:bidi="ar-SA"/>
              </w:rPr>
            </w:pPr>
          </w:p>
        </w:tc>
        <w:tc>
          <w:tcPr>
            <w:tcW w:w="888" w:type="dxa"/>
            <w:noWrap w:val="0"/>
            <w:vAlign w:val="center"/>
          </w:tcPr>
          <w:p>
            <w:pPr>
              <w:pStyle w:val="16"/>
              <w:kinsoku w:val="0"/>
              <w:overflowPunct w:val="0"/>
              <w:spacing w:line="400" w:lineRule="exact"/>
              <w:jc w:val="left"/>
              <w:rPr>
                <w:rFonts w:hint="eastAsia" w:ascii="仿宋" w:hAnsi="仿宋" w:eastAsia="仿宋" w:cstheme="minorBidi"/>
                <w:bCs/>
                <w:kern w:val="2"/>
                <w:sz w:val="21"/>
                <w:szCs w:val="21"/>
                <w:lang w:val="en-US" w:eastAsia="zh-CN" w:bidi="ar-SA"/>
              </w:rPr>
            </w:pPr>
          </w:p>
        </w:tc>
        <w:tc>
          <w:tcPr>
            <w:tcW w:w="962" w:type="dxa"/>
            <w:noWrap w:val="0"/>
            <w:vAlign w:val="center"/>
          </w:tcPr>
          <w:p>
            <w:pPr>
              <w:pStyle w:val="16"/>
              <w:kinsoku w:val="0"/>
              <w:overflowPunct w:val="0"/>
              <w:spacing w:line="400" w:lineRule="exact"/>
              <w:jc w:val="left"/>
              <w:rPr>
                <w:rFonts w:hint="eastAsia" w:ascii="仿宋" w:hAnsi="仿宋" w:eastAsia="仿宋" w:cstheme="minorBidi"/>
                <w:bCs/>
                <w:kern w:val="2"/>
                <w:sz w:val="21"/>
                <w:szCs w:val="21"/>
                <w:lang w:val="en-US" w:eastAsia="zh-CN" w:bidi="ar-SA"/>
              </w:rPr>
            </w:pPr>
          </w:p>
        </w:tc>
        <w:tc>
          <w:tcPr>
            <w:tcW w:w="1064" w:type="dxa"/>
            <w:noWrap w:val="0"/>
            <w:vAlign w:val="center"/>
          </w:tcPr>
          <w:p>
            <w:pPr>
              <w:pStyle w:val="16"/>
              <w:kinsoku w:val="0"/>
              <w:overflowPunct w:val="0"/>
              <w:spacing w:line="400" w:lineRule="exact"/>
              <w:jc w:val="left"/>
              <w:rPr>
                <w:rFonts w:hint="eastAsia" w:ascii="仿宋" w:hAnsi="仿宋" w:eastAsia="仿宋" w:cstheme="minorBidi"/>
                <w:bCs/>
                <w:kern w:val="2"/>
                <w:sz w:val="21"/>
                <w:szCs w:val="21"/>
                <w:lang w:val="en-US" w:eastAsia="zh-CN" w:bidi="ar-SA"/>
              </w:rPr>
            </w:pPr>
          </w:p>
        </w:tc>
      </w:tr>
    </w:tbl>
    <w:p>
      <w:pPr>
        <w:pStyle w:val="3"/>
        <w:widowControl/>
        <w:rPr>
          <w:rFonts w:hint="eastAsia" w:ascii="仿宋" w:hAnsi="仿宋" w:eastAsia="仿宋" w:cstheme="minorBidi"/>
          <w:bCs/>
          <w:kern w:val="2"/>
          <w:sz w:val="21"/>
          <w:szCs w:val="21"/>
          <w:lang w:val="en-US" w:eastAsia="zh-CN" w:bidi="ar-SA"/>
        </w:rPr>
      </w:pPr>
    </w:p>
    <w:p>
      <w:pPr>
        <w:pStyle w:val="3"/>
        <w:widowControl/>
        <w:jc w:val="left"/>
        <w:outlineLvl w:val="0"/>
        <w:rPr>
          <w:rFonts w:hint="eastAsia" w:ascii="宋体" w:hAnsi="宋体" w:cs="宋体"/>
          <w:b/>
          <w:color w:val="000000"/>
          <w:sz w:val="24"/>
          <w:lang w:val="en-US" w:eastAsia="zh-CN"/>
        </w:rPr>
      </w:pPr>
      <w:r>
        <w:rPr>
          <w:rFonts w:hint="eastAsia" w:ascii="宋体" w:hAnsi="宋体" w:cs="宋体"/>
          <w:b/>
          <w:color w:val="000000"/>
          <w:sz w:val="24"/>
          <w:lang w:val="en-US" w:eastAsia="zh-CN"/>
        </w:rPr>
        <w:t>3、 病案首页质量控制系统</w:t>
      </w:r>
    </w:p>
    <w:tbl>
      <w:tblPr>
        <w:tblStyle w:val="7"/>
        <w:tblW w:w="498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8"/>
        <w:gridCol w:w="1021"/>
        <w:gridCol w:w="4534"/>
        <w:gridCol w:w="798"/>
        <w:gridCol w:w="896"/>
        <w:gridCol w:w="949"/>
        <w:gridCol w:w="10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08" w:type="pct"/>
            <w:gridSpan w:val="4"/>
            <w:tcBorders>
              <w:top w:val="single" w:color="auto" w:sz="4" w:space="0"/>
              <w:left w:val="single" w:color="auto" w:sz="4" w:space="0"/>
              <w:bottom w:val="single" w:color="auto" w:sz="4" w:space="0"/>
              <w:right w:val="single" w:color="auto" w:sz="4" w:space="0"/>
            </w:tcBorders>
            <w:noWrap w:val="0"/>
            <w:vAlign w:val="center"/>
          </w:tcPr>
          <w:p>
            <w:pPr>
              <w:pStyle w:val="16"/>
              <w:kinsoku w:val="0"/>
              <w:overflowPunct w:val="0"/>
              <w:spacing w:line="46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本项目初步参数拟设置情况</w:t>
            </w:r>
          </w:p>
        </w:tc>
        <w:tc>
          <w:tcPr>
            <w:tcW w:w="456" w:type="pct"/>
            <w:vMerge w:val="restart"/>
            <w:tcBorders>
              <w:top w:val="single" w:color="auto" w:sz="4" w:space="0"/>
              <w:left w:val="single" w:color="auto" w:sz="4" w:space="0"/>
              <w:right w:val="single" w:color="auto" w:sz="4" w:space="0"/>
            </w:tcBorders>
            <w:noWrap w:val="0"/>
            <w:vAlign w:val="top"/>
          </w:tcPr>
          <w:p>
            <w:pPr>
              <w:pStyle w:val="16"/>
              <w:widowControl/>
              <w:kinsoku w:val="0"/>
              <w:overflowPunct w:val="0"/>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响应情况</w:t>
            </w:r>
          </w:p>
        </w:tc>
        <w:tc>
          <w:tcPr>
            <w:tcW w:w="483" w:type="pct"/>
            <w:vMerge w:val="restart"/>
            <w:tcBorders>
              <w:top w:val="single" w:color="auto" w:sz="4" w:space="0"/>
              <w:left w:val="single" w:color="auto" w:sz="4" w:space="0"/>
              <w:right w:val="single" w:color="auto" w:sz="4" w:space="0"/>
            </w:tcBorders>
            <w:noWrap w:val="0"/>
            <w:vAlign w:val="top"/>
          </w:tcPr>
          <w:p>
            <w:pPr>
              <w:pStyle w:val="16"/>
              <w:widowControl/>
              <w:kinsoku w:val="0"/>
              <w:overflowPunct w:val="0"/>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建议修改指标</w:t>
            </w:r>
          </w:p>
        </w:tc>
        <w:tc>
          <w:tcPr>
            <w:tcW w:w="552" w:type="pct"/>
            <w:vMerge w:val="restart"/>
            <w:tcBorders>
              <w:top w:val="single" w:color="auto" w:sz="4" w:space="0"/>
              <w:left w:val="single" w:color="auto" w:sz="4" w:space="0"/>
              <w:right w:val="single" w:color="auto" w:sz="4" w:space="0"/>
            </w:tcBorders>
            <w:noWrap w:val="0"/>
            <w:vAlign w:val="top"/>
          </w:tcPr>
          <w:p>
            <w:pPr>
              <w:pStyle w:val="16"/>
              <w:widowControl/>
              <w:kinsoku w:val="0"/>
              <w:overflowPunct w:val="0"/>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备注（真实指标、是否独家、是否提供有效检测报告）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4" w:type="pct"/>
            <w:tcBorders>
              <w:top w:val="single" w:color="auto" w:sz="4" w:space="0"/>
              <w:left w:val="single" w:color="auto" w:sz="4" w:space="0"/>
              <w:bottom w:val="single" w:color="auto" w:sz="4" w:space="0"/>
              <w:right w:val="single" w:color="auto" w:sz="4" w:space="0"/>
            </w:tcBorders>
            <w:noWrap w:val="0"/>
            <w:vAlign w:val="center"/>
          </w:tcPr>
          <w:p>
            <w:pPr>
              <w:pStyle w:val="16"/>
              <w:widowControl/>
              <w:kinsoku w:val="0"/>
              <w:overflowPunct w:val="0"/>
              <w:spacing w:line="400" w:lineRule="exac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系统名称</w:t>
            </w:r>
          </w:p>
        </w:tc>
        <w:tc>
          <w:tcPr>
            <w:tcW w:w="520" w:type="pct"/>
            <w:tcBorders>
              <w:top w:val="single" w:color="auto" w:sz="4" w:space="0"/>
              <w:left w:val="single" w:color="auto" w:sz="4" w:space="0"/>
              <w:bottom w:val="single" w:color="auto" w:sz="4" w:space="0"/>
              <w:right w:val="single" w:color="auto" w:sz="4" w:space="0"/>
            </w:tcBorders>
            <w:noWrap w:val="0"/>
            <w:vAlign w:val="center"/>
          </w:tcPr>
          <w:p>
            <w:pPr>
              <w:pStyle w:val="16"/>
              <w:widowControl/>
              <w:kinsoku w:val="0"/>
              <w:overflowPunct w:val="0"/>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系统功能</w:t>
            </w:r>
          </w:p>
        </w:tc>
        <w:tc>
          <w:tcPr>
            <w:tcW w:w="2308" w:type="pct"/>
            <w:tcBorders>
              <w:top w:val="single" w:color="auto" w:sz="4" w:space="0"/>
              <w:left w:val="single" w:color="auto" w:sz="4" w:space="0"/>
              <w:bottom w:val="single" w:color="auto" w:sz="4" w:space="0"/>
              <w:right w:val="single" w:color="auto" w:sz="4" w:space="0"/>
            </w:tcBorders>
            <w:noWrap w:val="0"/>
            <w:vAlign w:val="top"/>
          </w:tcPr>
          <w:p>
            <w:pPr>
              <w:pStyle w:val="16"/>
              <w:widowControl/>
              <w:kinsoku w:val="0"/>
              <w:overflowPunct w:val="0"/>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初步参数设置情况</w:t>
            </w:r>
          </w:p>
        </w:tc>
        <w:tc>
          <w:tcPr>
            <w:tcW w:w="405" w:type="pct"/>
            <w:tcBorders>
              <w:top w:val="single" w:color="auto" w:sz="4" w:space="0"/>
              <w:left w:val="single" w:color="auto" w:sz="4" w:space="0"/>
              <w:bottom w:val="single" w:color="auto" w:sz="4" w:space="0"/>
              <w:right w:val="single" w:color="auto" w:sz="4" w:space="0"/>
            </w:tcBorders>
            <w:noWrap w:val="0"/>
            <w:vAlign w:val="top"/>
          </w:tcPr>
          <w:p>
            <w:pPr>
              <w:pStyle w:val="16"/>
              <w:kinsoku w:val="0"/>
              <w:overflowPunct w:val="0"/>
              <w:spacing w:line="46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是否设置为为★</w:t>
            </w:r>
          </w:p>
        </w:tc>
        <w:tc>
          <w:tcPr>
            <w:tcW w:w="456" w:type="pct"/>
            <w:vMerge w:val="continue"/>
            <w:tcBorders>
              <w:left w:val="single" w:color="auto" w:sz="4" w:space="0"/>
              <w:bottom w:val="single" w:color="auto" w:sz="4" w:space="0"/>
              <w:right w:val="single" w:color="auto" w:sz="4" w:space="0"/>
            </w:tcBorders>
            <w:noWrap w:val="0"/>
            <w:vAlign w:val="center"/>
          </w:tcPr>
          <w:p>
            <w:pPr>
              <w:jc w:val="center"/>
              <w:rPr>
                <w:rFonts w:hint="eastAsia" w:ascii="仿宋" w:hAnsi="仿宋" w:eastAsia="仿宋" w:cstheme="minorBidi"/>
                <w:bCs/>
                <w:kern w:val="2"/>
                <w:sz w:val="21"/>
                <w:szCs w:val="21"/>
                <w:lang w:val="en-US" w:eastAsia="zh-CN" w:bidi="ar-SA"/>
              </w:rPr>
            </w:pPr>
          </w:p>
        </w:tc>
        <w:tc>
          <w:tcPr>
            <w:tcW w:w="483" w:type="pct"/>
            <w:vMerge w:val="continue"/>
            <w:tcBorders>
              <w:left w:val="single" w:color="auto" w:sz="4" w:space="0"/>
              <w:bottom w:val="single" w:color="auto" w:sz="4" w:space="0"/>
              <w:right w:val="single" w:color="auto" w:sz="4" w:space="0"/>
            </w:tcBorders>
            <w:noWrap w:val="0"/>
            <w:vAlign w:val="center"/>
          </w:tcPr>
          <w:p>
            <w:pPr>
              <w:jc w:val="center"/>
              <w:rPr>
                <w:rFonts w:hint="eastAsia" w:ascii="仿宋" w:hAnsi="仿宋" w:eastAsia="仿宋" w:cstheme="minorBidi"/>
                <w:bCs/>
                <w:kern w:val="2"/>
                <w:sz w:val="21"/>
                <w:szCs w:val="21"/>
                <w:lang w:val="en-US" w:eastAsia="zh-CN" w:bidi="ar-SA"/>
              </w:rPr>
            </w:pPr>
          </w:p>
        </w:tc>
        <w:tc>
          <w:tcPr>
            <w:tcW w:w="552" w:type="pct"/>
            <w:vMerge w:val="continue"/>
            <w:tcBorders>
              <w:left w:val="single" w:color="auto" w:sz="4" w:space="0"/>
              <w:bottom w:val="single" w:color="auto" w:sz="4" w:space="0"/>
              <w:right w:val="single" w:color="auto" w:sz="4" w:space="0"/>
            </w:tcBorders>
            <w:noWrap w:val="0"/>
            <w:vAlign w:val="center"/>
          </w:tcPr>
          <w:p>
            <w:pPr>
              <w:jc w:val="center"/>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1" w:hRule="atLeast"/>
          <w:jc w:val="center"/>
        </w:trPr>
        <w:tc>
          <w:tcPr>
            <w:tcW w:w="274" w:type="pc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病案首页形式质控</w:t>
            </w:r>
          </w:p>
        </w:tc>
        <w:tc>
          <w:tcPr>
            <w:tcW w:w="520" w:type="pc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病案首页数据完整性</w:t>
            </w:r>
          </w:p>
        </w:tc>
        <w:tc>
          <w:tcPr>
            <w:tcW w:w="2308"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满足国卫办医发〔2016〕24号《国家卫生计生委办公厅关于印发住院病案首页数据填写质量规范（暂行）和住院病案首页数据质量管理与控制指标（2016版）的通知》中病案首页数据质量填写规范的要求及中医住院病案首页质控考核细则（2017年版）等。</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可质检首页字段完整性，包括但不限于如下示例：</w:t>
            </w:r>
          </w:p>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1.病案首页病案号完整性质检</w:t>
            </w:r>
          </w:p>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2.病案首页籍贯完整性质检</w:t>
            </w:r>
          </w:p>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3.病案首页民族完整性质检</w:t>
            </w:r>
          </w:p>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4.病案首页国籍完整性质检</w:t>
            </w:r>
          </w:p>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5.病案首页证件号码完整性质检</w:t>
            </w:r>
          </w:p>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6.病案首页职业完整性质检</w:t>
            </w:r>
          </w:p>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7.病案首页婚姻状况完整性质检</w:t>
            </w:r>
          </w:p>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8.病案首页现住址完整性质检</w:t>
            </w:r>
          </w:p>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9.病案首页住址电话号码完整性质检</w:t>
            </w:r>
          </w:p>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10.病案首页现住址邮编完整性质检</w:t>
            </w:r>
          </w:p>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11.病案首页性别完整性质检</w:t>
            </w:r>
          </w:p>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12.病案首页户口地址完整性质检</w:t>
            </w:r>
          </w:p>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13.病案首页户口地址邮编完整性质检</w:t>
            </w:r>
          </w:p>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14.病案首页工作单位及地址完整性质检</w:t>
            </w:r>
          </w:p>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15.病案首页单位电话完整性质检</w:t>
            </w:r>
          </w:p>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16.病案首页单位邮编完整性质检</w:t>
            </w:r>
          </w:p>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17.病案首页联系人姓名完整性质检</w:t>
            </w:r>
          </w:p>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18.病案首页关系完整性质检</w:t>
            </w:r>
          </w:p>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19.病案首页联系人地址完整性质检</w:t>
            </w:r>
          </w:p>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20.病案首页联系人电话号码完整性质检</w:t>
            </w:r>
          </w:p>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21.病案首页出生日期完整性质检</w:t>
            </w:r>
          </w:p>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22.病案首页年龄完整性质检</w:t>
            </w:r>
          </w:p>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23.病案首页患者姓名完整性质检</w:t>
            </w:r>
          </w:p>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24.病案首页出生地完整性质检</w:t>
            </w:r>
          </w:p>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25.病案首页门诊诊断完整性质检</w:t>
            </w:r>
          </w:p>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26.病案首页手术及操作名称完整性质检</w:t>
            </w:r>
          </w:p>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27.病案首页血型完整性质检</w:t>
            </w:r>
          </w:p>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28.病案首页主任（副主任）医师完整性质检</w:t>
            </w:r>
          </w:p>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29.病案首页主治医师完整性质检</w:t>
            </w:r>
          </w:p>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30.病案首页住院医师完整性质检</w:t>
            </w:r>
          </w:p>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31.病案首页质控医师完整性质检</w:t>
            </w:r>
          </w:p>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32.病案首页抢救成功次数完整性质检</w:t>
            </w:r>
          </w:p>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33.病案首页抢救次数完整性质检</w:t>
            </w:r>
          </w:p>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34.病案首页抢救情况完整性质检</w:t>
            </w:r>
          </w:p>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35.病案首页主要诊断编码完整性质检</w:t>
            </w:r>
          </w:p>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36.病案首页损伤、中毒的外部因素完整性质检</w:t>
            </w:r>
          </w:p>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37.病案首页是否有31天内再住院计划完整性质检</w:t>
            </w:r>
          </w:p>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38.病案首页颅脑损伤患者昏迷时间完整性质检</w:t>
            </w:r>
          </w:p>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39.病案首页离院方式完整性质检</w:t>
            </w:r>
          </w:p>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40.病案首页过敏史完整性质检</w:t>
            </w:r>
          </w:p>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41.病案首页完成及时性质检</w:t>
            </w:r>
          </w:p>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42.病案首页入院时间完整性质检</w:t>
            </w:r>
          </w:p>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43.病案首页入院途径完整性质检</w:t>
            </w:r>
          </w:p>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44.病案首页入院科室完整性质检</w:t>
            </w:r>
          </w:p>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45.病案首页手术及操作日期完整性质检</w:t>
            </w:r>
          </w:p>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46.病案首页转科情况完整性质检</w:t>
            </w:r>
          </w:p>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47.病案首页出院时间完整性质检</w:t>
            </w:r>
          </w:p>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48.病案首页出院科室完整性质检</w:t>
            </w:r>
          </w:p>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49.病案首页医疗付费方式完整性质检</w:t>
            </w:r>
          </w:p>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50.病案首页重症监护信息完整性质检</w:t>
            </w:r>
          </w:p>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51.病案首页呼吸机使用时间完整性质检</w:t>
            </w:r>
          </w:p>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52.病案首页新生儿入院体重完整性质检</w:t>
            </w:r>
          </w:p>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53.病案首页新生儿出生体重完整性质检</w:t>
            </w:r>
          </w:p>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54.病案首页输血相关完整性质检</w:t>
            </w:r>
          </w:p>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55.当出现中医类、中药类费用时，首页中医诊断情况完整性质检</w:t>
            </w:r>
          </w:p>
        </w:tc>
        <w:tc>
          <w:tcPr>
            <w:tcW w:w="405"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456"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483"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552"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4" w:type="pc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 w:hAnsi="仿宋" w:eastAsia="仿宋" w:cstheme="minorBidi"/>
                <w:bCs/>
                <w:kern w:val="2"/>
                <w:sz w:val="21"/>
                <w:szCs w:val="21"/>
                <w:lang w:val="en-US" w:eastAsia="zh-CN" w:bidi="ar-SA"/>
              </w:rPr>
            </w:pPr>
          </w:p>
        </w:tc>
        <w:tc>
          <w:tcPr>
            <w:tcW w:w="520" w:type="pc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首页一致性规则</w:t>
            </w:r>
          </w:p>
        </w:tc>
        <w:tc>
          <w:tcPr>
            <w:tcW w:w="2308" w:type="pct"/>
            <w:tcBorders>
              <w:top w:val="single" w:color="auto" w:sz="4" w:space="0"/>
              <w:left w:val="single" w:color="auto" w:sz="4" w:space="0"/>
              <w:bottom w:val="single" w:color="auto" w:sz="4" w:space="0"/>
              <w:right w:val="single" w:color="auto" w:sz="4" w:space="0"/>
            </w:tcBorders>
            <w:noWrap w:val="0"/>
            <w:vAlign w:val="center"/>
          </w:tcPr>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对首页信息的与其他文书或入院信息的一致性进行校验，包括但不限于如下示例：</w:t>
            </w:r>
          </w:p>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1、病案首页与血型化验的血型一致性质检</w:t>
            </w:r>
          </w:p>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2、病案首页与入院信息的联系人姓名一致性质检</w:t>
            </w:r>
          </w:p>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3、病案首页与入院信息的联系人地址一致性质检</w:t>
            </w:r>
          </w:p>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4、病案首页与入院信息的联系人电话号码一致性质检</w:t>
            </w:r>
          </w:p>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5、病案首页与入院信息的籍贯一致性质检</w:t>
            </w:r>
          </w:p>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6、病案首页与入院信息的民族一致性质检</w:t>
            </w:r>
          </w:p>
        </w:tc>
        <w:tc>
          <w:tcPr>
            <w:tcW w:w="405"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456"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483"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552"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4" w:type="pc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 w:hAnsi="仿宋" w:eastAsia="仿宋" w:cstheme="minorBidi"/>
                <w:bCs/>
                <w:kern w:val="2"/>
                <w:sz w:val="21"/>
                <w:szCs w:val="21"/>
                <w:lang w:val="en-US" w:eastAsia="zh-CN" w:bidi="ar-SA"/>
              </w:rPr>
            </w:pPr>
          </w:p>
        </w:tc>
        <w:tc>
          <w:tcPr>
            <w:tcW w:w="520" w:type="pc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首页合规性规则</w:t>
            </w:r>
          </w:p>
        </w:tc>
        <w:tc>
          <w:tcPr>
            <w:tcW w:w="2308"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包括但不限于如下示例：</w:t>
            </w:r>
          </w:p>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病案首页联系人关系合规性质检</w:t>
            </w:r>
          </w:p>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病案首页死亡患者尸检合规性质检</w:t>
            </w:r>
          </w:p>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病案首页新生儿出生体重合规性质检</w:t>
            </w:r>
          </w:p>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病案首页住院天数合规性质检</w:t>
            </w:r>
          </w:p>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病案首页新生儿入院体重合规性质检</w:t>
            </w:r>
          </w:p>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死亡病例病案首页离院方式合规性质检</w:t>
            </w:r>
          </w:p>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死亡患者病案首页是否出院31天再住院计划合规性质检</w:t>
            </w:r>
          </w:p>
        </w:tc>
        <w:tc>
          <w:tcPr>
            <w:tcW w:w="405"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456"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483"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552"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4" w:type="pc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 w:hAnsi="仿宋" w:eastAsia="仿宋" w:cstheme="minorBidi"/>
                <w:bCs/>
                <w:kern w:val="2"/>
                <w:sz w:val="21"/>
                <w:szCs w:val="21"/>
                <w:lang w:val="en-US" w:eastAsia="zh-CN" w:bidi="ar-SA"/>
              </w:rPr>
            </w:pPr>
          </w:p>
        </w:tc>
        <w:tc>
          <w:tcPr>
            <w:tcW w:w="520" w:type="pc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诊断合规性规则</w:t>
            </w:r>
          </w:p>
        </w:tc>
        <w:tc>
          <w:tcPr>
            <w:tcW w:w="2308"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包括但不限于如下示例：</w:t>
            </w:r>
          </w:p>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病案首页贫血未明确分度</w:t>
            </w:r>
          </w:p>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病案首页电解质紊乱诊断不明确</w:t>
            </w:r>
          </w:p>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病案首页心律失常诊断未明确分类</w:t>
            </w:r>
          </w:p>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病案首页糖尿病诊断未明确分型</w:t>
            </w:r>
          </w:p>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病案首页呼吸衰竭诊断未明确分型、性质</w:t>
            </w:r>
          </w:p>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病案首页高血压诊断未明确分类、分层</w:t>
            </w:r>
          </w:p>
        </w:tc>
        <w:tc>
          <w:tcPr>
            <w:tcW w:w="405"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456"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483"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552"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4" w:type="pc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 w:hAnsi="仿宋" w:eastAsia="仿宋" w:cstheme="minorBidi"/>
                <w:bCs/>
                <w:kern w:val="2"/>
                <w:sz w:val="21"/>
                <w:szCs w:val="21"/>
                <w:lang w:val="en-US" w:eastAsia="zh-CN" w:bidi="ar-SA"/>
              </w:rPr>
            </w:pPr>
          </w:p>
        </w:tc>
        <w:tc>
          <w:tcPr>
            <w:tcW w:w="520" w:type="pc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首页逻辑性校验</w:t>
            </w:r>
          </w:p>
        </w:tc>
        <w:tc>
          <w:tcPr>
            <w:tcW w:w="2308"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包括但不限于如下示例：</w:t>
            </w:r>
          </w:p>
          <w:p>
            <w:pPr>
              <w:numPr>
                <w:ilvl w:val="0"/>
                <w:numId w:val="5"/>
              </w:num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住院病案首页HIS系统逻辑校验规则（2022年7月更新版）；</w:t>
            </w:r>
          </w:p>
          <w:p>
            <w:pPr>
              <w:numPr>
                <w:ilvl w:val="0"/>
                <w:numId w:val="5"/>
              </w:num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医疗机构180条校验规则（206条）;</w:t>
            </w:r>
          </w:p>
        </w:tc>
        <w:tc>
          <w:tcPr>
            <w:tcW w:w="405" w:type="pct"/>
            <w:tcBorders>
              <w:top w:val="single" w:color="auto" w:sz="4" w:space="0"/>
              <w:left w:val="single" w:color="auto" w:sz="4" w:space="0"/>
              <w:bottom w:val="single" w:color="auto" w:sz="4" w:space="0"/>
              <w:right w:val="single" w:color="auto" w:sz="4" w:space="0"/>
            </w:tcBorders>
            <w:noWrap w:val="0"/>
            <w:vAlign w:val="center"/>
          </w:tcPr>
          <w:p>
            <w:pPr>
              <w:numPr>
                <w:ilvl w:val="0"/>
                <w:numId w:val="5"/>
              </w:numPr>
              <w:jc w:val="left"/>
              <w:rPr>
                <w:rFonts w:hint="eastAsia" w:ascii="仿宋" w:hAnsi="仿宋" w:eastAsia="仿宋" w:cstheme="minorBidi"/>
                <w:bCs/>
                <w:kern w:val="2"/>
                <w:sz w:val="21"/>
                <w:szCs w:val="21"/>
                <w:lang w:val="en-US" w:eastAsia="zh-CN" w:bidi="ar-SA"/>
              </w:rPr>
            </w:pPr>
          </w:p>
        </w:tc>
        <w:tc>
          <w:tcPr>
            <w:tcW w:w="456" w:type="pct"/>
            <w:tcBorders>
              <w:top w:val="single" w:color="auto" w:sz="4" w:space="0"/>
              <w:left w:val="single" w:color="auto" w:sz="4" w:space="0"/>
              <w:bottom w:val="single" w:color="auto" w:sz="4" w:space="0"/>
              <w:right w:val="single" w:color="auto" w:sz="4" w:space="0"/>
            </w:tcBorders>
            <w:noWrap w:val="0"/>
            <w:vAlign w:val="center"/>
          </w:tcPr>
          <w:p>
            <w:pPr>
              <w:numPr>
                <w:ilvl w:val="0"/>
                <w:numId w:val="5"/>
              </w:numPr>
              <w:jc w:val="left"/>
              <w:rPr>
                <w:rFonts w:hint="eastAsia" w:ascii="仿宋" w:hAnsi="仿宋" w:eastAsia="仿宋" w:cstheme="minorBidi"/>
                <w:bCs/>
                <w:kern w:val="2"/>
                <w:sz w:val="21"/>
                <w:szCs w:val="21"/>
                <w:lang w:val="en-US" w:eastAsia="zh-CN" w:bidi="ar-SA"/>
              </w:rPr>
            </w:pPr>
          </w:p>
        </w:tc>
        <w:tc>
          <w:tcPr>
            <w:tcW w:w="483" w:type="pct"/>
            <w:tcBorders>
              <w:top w:val="single" w:color="auto" w:sz="4" w:space="0"/>
              <w:left w:val="single" w:color="auto" w:sz="4" w:space="0"/>
              <w:bottom w:val="single" w:color="auto" w:sz="4" w:space="0"/>
              <w:right w:val="single" w:color="auto" w:sz="4" w:space="0"/>
            </w:tcBorders>
            <w:noWrap w:val="0"/>
            <w:vAlign w:val="center"/>
          </w:tcPr>
          <w:p>
            <w:pPr>
              <w:numPr>
                <w:ilvl w:val="0"/>
                <w:numId w:val="5"/>
              </w:numPr>
              <w:jc w:val="left"/>
              <w:rPr>
                <w:rFonts w:hint="eastAsia" w:ascii="仿宋" w:hAnsi="仿宋" w:eastAsia="仿宋" w:cstheme="minorBidi"/>
                <w:bCs/>
                <w:kern w:val="2"/>
                <w:sz w:val="21"/>
                <w:szCs w:val="21"/>
                <w:lang w:val="en-US" w:eastAsia="zh-CN" w:bidi="ar-SA"/>
              </w:rPr>
            </w:pPr>
          </w:p>
        </w:tc>
        <w:tc>
          <w:tcPr>
            <w:tcW w:w="552" w:type="pct"/>
            <w:tcBorders>
              <w:top w:val="single" w:color="auto" w:sz="4" w:space="0"/>
              <w:left w:val="single" w:color="auto" w:sz="4" w:space="0"/>
              <w:bottom w:val="single" w:color="auto" w:sz="4" w:space="0"/>
              <w:right w:val="single" w:color="auto" w:sz="4" w:space="0"/>
            </w:tcBorders>
            <w:noWrap w:val="0"/>
            <w:vAlign w:val="center"/>
          </w:tcPr>
          <w:p>
            <w:pPr>
              <w:numPr>
                <w:ilvl w:val="0"/>
                <w:numId w:val="5"/>
              </w:numPr>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4" w:type="pct"/>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病案首页内涵实时质控</w:t>
            </w:r>
          </w:p>
        </w:tc>
        <w:tc>
          <w:tcPr>
            <w:tcW w:w="520" w:type="pc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首页合规性规则</w:t>
            </w:r>
          </w:p>
        </w:tc>
        <w:tc>
          <w:tcPr>
            <w:tcW w:w="2308"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对上报数据的合规性进行质量控制，包括但不限于如下示例：</w:t>
            </w:r>
          </w:p>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1、病案首页与血型化验的血型一致性质检</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2、当首页出院诊断ICD10编码中含有S06（颅内损伤）时，入院前颅脑损伤患者昏迷时间不能为空，不需要填写的应为“-”</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3、当首页出院诊断编码中含有S06（颅内损伤）时，入院后颅脑损伤患者昏迷时间不能为空，不需要填写的应为“-”</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4、当首页的手术名称类别为手术时，麻醉方式不应为空</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5、当首页的手术名称类别为手术时，手术操作切口等级不应为空</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6、当首页的手术名称类别为手术时，愈合等级不应为空</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7、当首页的手术名称类别为手术或介入时，对应的手术操作级别不应为空</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8、病案首页现住址邮编合规性质检</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9、病案首页住址电话合规性质检</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10、病案首页身份证号合规性质检</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11、病案首页联系人姓名合规性质检</w:t>
            </w:r>
          </w:p>
        </w:tc>
        <w:tc>
          <w:tcPr>
            <w:tcW w:w="405" w:type="pct"/>
            <w:tcBorders>
              <w:top w:val="single" w:color="auto" w:sz="4" w:space="0"/>
              <w:left w:val="single" w:color="auto" w:sz="4" w:space="0"/>
              <w:bottom w:val="single" w:color="auto" w:sz="4" w:space="0"/>
              <w:right w:val="single" w:color="auto" w:sz="4" w:space="0"/>
            </w:tcBorders>
            <w:noWrap w:val="0"/>
            <w:vAlign w:val="center"/>
          </w:tcPr>
          <w:p>
            <w:pPr>
              <w:pStyle w:val="3"/>
              <w:widowControl/>
              <w:rPr>
                <w:rFonts w:hint="eastAsia" w:ascii="仿宋" w:hAnsi="仿宋" w:eastAsia="仿宋" w:cstheme="minorBidi"/>
                <w:bCs/>
                <w:kern w:val="2"/>
                <w:sz w:val="21"/>
                <w:szCs w:val="21"/>
                <w:lang w:val="en-US" w:eastAsia="zh-CN" w:bidi="ar-SA"/>
              </w:rPr>
            </w:pPr>
          </w:p>
        </w:tc>
        <w:tc>
          <w:tcPr>
            <w:tcW w:w="456" w:type="pct"/>
            <w:tcBorders>
              <w:top w:val="single" w:color="auto" w:sz="4" w:space="0"/>
              <w:left w:val="single" w:color="auto" w:sz="4" w:space="0"/>
              <w:bottom w:val="single" w:color="auto" w:sz="4" w:space="0"/>
              <w:right w:val="single" w:color="auto" w:sz="4" w:space="0"/>
            </w:tcBorders>
            <w:noWrap w:val="0"/>
            <w:vAlign w:val="center"/>
          </w:tcPr>
          <w:p>
            <w:pPr>
              <w:pStyle w:val="3"/>
              <w:widowControl/>
              <w:rPr>
                <w:rFonts w:hint="eastAsia" w:ascii="仿宋" w:hAnsi="仿宋" w:eastAsia="仿宋" w:cstheme="minorBidi"/>
                <w:bCs/>
                <w:kern w:val="2"/>
                <w:sz w:val="21"/>
                <w:szCs w:val="21"/>
                <w:lang w:val="en-US" w:eastAsia="zh-CN" w:bidi="ar-SA"/>
              </w:rPr>
            </w:pPr>
          </w:p>
        </w:tc>
        <w:tc>
          <w:tcPr>
            <w:tcW w:w="483" w:type="pct"/>
            <w:tcBorders>
              <w:top w:val="single" w:color="auto" w:sz="4" w:space="0"/>
              <w:left w:val="single" w:color="auto" w:sz="4" w:space="0"/>
              <w:bottom w:val="single" w:color="auto" w:sz="4" w:space="0"/>
              <w:right w:val="single" w:color="auto" w:sz="4" w:space="0"/>
            </w:tcBorders>
            <w:noWrap w:val="0"/>
            <w:vAlign w:val="center"/>
          </w:tcPr>
          <w:p>
            <w:pPr>
              <w:pStyle w:val="3"/>
              <w:widowControl/>
              <w:rPr>
                <w:rFonts w:hint="eastAsia" w:ascii="仿宋" w:hAnsi="仿宋" w:eastAsia="仿宋" w:cstheme="minorBidi"/>
                <w:bCs/>
                <w:kern w:val="2"/>
                <w:sz w:val="21"/>
                <w:szCs w:val="21"/>
                <w:lang w:val="en-US" w:eastAsia="zh-CN" w:bidi="ar-SA"/>
              </w:rPr>
            </w:pPr>
          </w:p>
        </w:tc>
        <w:tc>
          <w:tcPr>
            <w:tcW w:w="552" w:type="pct"/>
            <w:tcBorders>
              <w:top w:val="single" w:color="auto" w:sz="4" w:space="0"/>
              <w:left w:val="single" w:color="auto" w:sz="4" w:space="0"/>
              <w:bottom w:val="single" w:color="auto" w:sz="4" w:space="0"/>
              <w:right w:val="single" w:color="auto" w:sz="4" w:space="0"/>
            </w:tcBorders>
            <w:noWrap w:val="0"/>
            <w:vAlign w:val="center"/>
          </w:tcPr>
          <w:p>
            <w:pPr>
              <w:pStyle w:val="3"/>
              <w:widowControl/>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520" w:type="pct"/>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首页一致性规则</w:t>
            </w:r>
          </w:p>
        </w:tc>
        <w:tc>
          <w:tcPr>
            <w:tcW w:w="2308"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对患者基本信息、诊断、手术等信息相互间矛盾的情况进行质量控制，包括但不限于如下示例：</w:t>
            </w:r>
          </w:p>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1、病案首页入院病情为有的，诊断与入院记录的入院诊断不一致（入院时病情不明确的情况除外）。</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2、病案首页与入院记录过敏药物记录内容不一致</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3、出院记录与病案首页记录的出院日期不一致</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4、病案首页与入院记录婚姻状态不一致</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5、病案首页与入院记录入院途径不一致</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6、病案首页与医嘱离院方式不一致</w:t>
            </w:r>
          </w:p>
        </w:tc>
        <w:tc>
          <w:tcPr>
            <w:tcW w:w="405" w:type="pct"/>
            <w:tcBorders>
              <w:top w:val="single" w:color="auto" w:sz="4" w:space="0"/>
              <w:left w:val="single" w:color="auto" w:sz="4" w:space="0"/>
              <w:bottom w:val="single" w:color="auto" w:sz="4" w:space="0"/>
              <w:right w:val="single" w:color="auto" w:sz="4" w:space="0"/>
            </w:tcBorders>
            <w:noWrap w:val="0"/>
            <w:vAlign w:val="center"/>
          </w:tcPr>
          <w:p>
            <w:pPr>
              <w:pStyle w:val="3"/>
              <w:widowControl/>
              <w:rPr>
                <w:rFonts w:hint="eastAsia" w:ascii="仿宋" w:hAnsi="仿宋" w:eastAsia="仿宋" w:cstheme="minorBidi"/>
                <w:bCs/>
                <w:kern w:val="2"/>
                <w:sz w:val="21"/>
                <w:szCs w:val="21"/>
                <w:lang w:val="en-US" w:eastAsia="zh-CN" w:bidi="ar-SA"/>
              </w:rPr>
            </w:pPr>
          </w:p>
        </w:tc>
        <w:tc>
          <w:tcPr>
            <w:tcW w:w="456" w:type="pct"/>
            <w:tcBorders>
              <w:top w:val="single" w:color="auto" w:sz="4" w:space="0"/>
              <w:left w:val="single" w:color="auto" w:sz="4" w:space="0"/>
              <w:bottom w:val="single" w:color="auto" w:sz="4" w:space="0"/>
              <w:right w:val="single" w:color="auto" w:sz="4" w:space="0"/>
            </w:tcBorders>
            <w:noWrap w:val="0"/>
            <w:vAlign w:val="center"/>
          </w:tcPr>
          <w:p>
            <w:pPr>
              <w:pStyle w:val="3"/>
              <w:widowControl/>
              <w:rPr>
                <w:rFonts w:hint="eastAsia" w:ascii="仿宋" w:hAnsi="仿宋" w:eastAsia="仿宋" w:cstheme="minorBidi"/>
                <w:bCs/>
                <w:kern w:val="2"/>
                <w:sz w:val="21"/>
                <w:szCs w:val="21"/>
                <w:lang w:val="en-US" w:eastAsia="zh-CN" w:bidi="ar-SA"/>
              </w:rPr>
            </w:pPr>
          </w:p>
        </w:tc>
        <w:tc>
          <w:tcPr>
            <w:tcW w:w="483" w:type="pct"/>
            <w:tcBorders>
              <w:top w:val="single" w:color="auto" w:sz="4" w:space="0"/>
              <w:left w:val="single" w:color="auto" w:sz="4" w:space="0"/>
              <w:bottom w:val="single" w:color="auto" w:sz="4" w:space="0"/>
              <w:right w:val="single" w:color="auto" w:sz="4" w:space="0"/>
            </w:tcBorders>
            <w:noWrap w:val="0"/>
            <w:vAlign w:val="center"/>
          </w:tcPr>
          <w:p>
            <w:pPr>
              <w:pStyle w:val="3"/>
              <w:widowControl/>
              <w:rPr>
                <w:rFonts w:hint="eastAsia" w:ascii="仿宋" w:hAnsi="仿宋" w:eastAsia="仿宋" w:cstheme="minorBidi"/>
                <w:bCs/>
                <w:kern w:val="2"/>
                <w:sz w:val="21"/>
                <w:szCs w:val="21"/>
                <w:lang w:val="en-US" w:eastAsia="zh-CN" w:bidi="ar-SA"/>
              </w:rPr>
            </w:pPr>
          </w:p>
        </w:tc>
        <w:tc>
          <w:tcPr>
            <w:tcW w:w="552" w:type="pct"/>
            <w:tcBorders>
              <w:top w:val="single" w:color="auto" w:sz="4" w:space="0"/>
              <w:left w:val="single" w:color="auto" w:sz="4" w:space="0"/>
              <w:bottom w:val="single" w:color="auto" w:sz="4" w:space="0"/>
              <w:right w:val="single" w:color="auto" w:sz="4" w:space="0"/>
            </w:tcBorders>
            <w:noWrap w:val="0"/>
            <w:vAlign w:val="center"/>
          </w:tcPr>
          <w:p>
            <w:pPr>
              <w:pStyle w:val="3"/>
              <w:widowControl/>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520" w:type="pc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主诊断选择合理性规则</w:t>
            </w:r>
          </w:p>
        </w:tc>
        <w:tc>
          <w:tcPr>
            <w:tcW w:w="2308"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包括但不限于如下示例：</w:t>
            </w:r>
          </w:p>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1、对病案首页主诊断选择的合理性进行质量控制；</w:t>
            </w:r>
          </w:p>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2、妇产科主诊断应选择产科并发症或伴随疾病；</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3、选择剖宫产原因作为主诊断。</w:t>
            </w:r>
          </w:p>
        </w:tc>
        <w:tc>
          <w:tcPr>
            <w:tcW w:w="405" w:type="pct"/>
            <w:tcBorders>
              <w:top w:val="single" w:color="auto" w:sz="4" w:space="0"/>
              <w:left w:val="single" w:color="auto" w:sz="4" w:space="0"/>
              <w:bottom w:val="single" w:color="auto" w:sz="4" w:space="0"/>
              <w:right w:val="single" w:color="auto" w:sz="4" w:space="0"/>
            </w:tcBorders>
            <w:noWrap w:val="0"/>
            <w:vAlign w:val="center"/>
          </w:tcPr>
          <w:p>
            <w:pPr>
              <w:pStyle w:val="3"/>
              <w:widowControl/>
              <w:rPr>
                <w:rFonts w:hint="eastAsia" w:ascii="仿宋" w:hAnsi="仿宋" w:eastAsia="仿宋" w:cstheme="minorBidi"/>
                <w:bCs/>
                <w:kern w:val="2"/>
                <w:sz w:val="21"/>
                <w:szCs w:val="21"/>
                <w:lang w:val="en-US" w:eastAsia="zh-CN" w:bidi="ar-SA"/>
              </w:rPr>
            </w:pPr>
          </w:p>
        </w:tc>
        <w:tc>
          <w:tcPr>
            <w:tcW w:w="456" w:type="pct"/>
            <w:tcBorders>
              <w:top w:val="single" w:color="auto" w:sz="4" w:space="0"/>
              <w:left w:val="single" w:color="auto" w:sz="4" w:space="0"/>
              <w:bottom w:val="single" w:color="auto" w:sz="4" w:space="0"/>
              <w:right w:val="single" w:color="auto" w:sz="4" w:space="0"/>
            </w:tcBorders>
            <w:noWrap w:val="0"/>
            <w:vAlign w:val="center"/>
          </w:tcPr>
          <w:p>
            <w:pPr>
              <w:pStyle w:val="3"/>
              <w:widowControl/>
              <w:rPr>
                <w:rFonts w:hint="eastAsia" w:ascii="仿宋" w:hAnsi="仿宋" w:eastAsia="仿宋" w:cstheme="minorBidi"/>
                <w:bCs/>
                <w:kern w:val="2"/>
                <w:sz w:val="21"/>
                <w:szCs w:val="21"/>
                <w:lang w:val="en-US" w:eastAsia="zh-CN" w:bidi="ar-SA"/>
              </w:rPr>
            </w:pPr>
          </w:p>
        </w:tc>
        <w:tc>
          <w:tcPr>
            <w:tcW w:w="483" w:type="pct"/>
            <w:tcBorders>
              <w:top w:val="single" w:color="auto" w:sz="4" w:space="0"/>
              <w:left w:val="single" w:color="auto" w:sz="4" w:space="0"/>
              <w:bottom w:val="single" w:color="auto" w:sz="4" w:space="0"/>
              <w:right w:val="single" w:color="auto" w:sz="4" w:space="0"/>
            </w:tcBorders>
            <w:noWrap w:val="0"/>
            <w:vAlign w:val="center"/>
          </w:tcPr>
          <w:p>
            <w:pPr>
              <w:pStyle w:val="3"/>
              <w:widowControl/>
              <w:rPr>
                <w:rFonts w:hint="eastAsia" w:ascii="仿宋" w:hAnsi="仿宋" w:eastAsia="仿宋" w:cstheme="minorBidi"/>
                <w:bCs/>
                <w:kern w:val="2"/>
                <w:sz w:val="21"/>
                <w:szCs w:val="21"/>
                <w:lang w:val="en-US" w:eastAsia="zh-CN" w:bidi="ar-SA"/>
              </w:rPr>
            </w:pPr>
          </w:p>
        </w:tc>
        <w:tc>
          <w:tcPr>
            <w:tcW w:w="552" w:type="pct"/>
            <w:tcBorders>
              <w:top w:val="single" w:color="auto" w:sz="4" w:space="0"/>
              <w:left w:val="single" w:color="auto" w:sz="4" w:space="0"/>
              <w:bottom w:val="single" w:color="auto" w:sz="4" w:space="0"/>
              <w:right w:val="single" w:color="auto" w:sz="4" w:space="0"/>
            </w:tcBorders>
            <w:noWrap w:val="0"/>
            <w:vAlign w:val="center"/>
          </w:tcPr>
          <w:p>
            <w:pPr>
              <w:pStyle w:val="3"/>
              <w:widowControl/>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520" w:type="pc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其他诊断遗漏规则</w:t>
            </w:r>
          </w:p>
        </w:tc>
        <w:tc>
          <w:tcPr>
            <w:tcW w:w="2308"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对病案首页其他诊断遗漏的情况进行质控提醒，包括但不限于如下示例：</w:t>
            </w:r>
          </w:p>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1、RIS报告中提示的疾病未加入病案首页诊断中</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2、既往史在病案首页的遗漏</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3、术后诊断在病案首页的遗漏</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4、出院诊断在病案首页的遗漏</w:t>
            </w:r>
          </w:p>
        </w:tc>
        <w:tc>
          <w:tcPr>
            <w:tcW w:w="405" w:type="pct"/>
            <w:tcBorders>
              <w:top w:val="single" w:color="auto" w:sz="4" w:space="0"/>
              <w:left w:val="single" w:color="auto" w:sz="4" w:space="0"/>
              <w:bottom w:val="single" w:color="auto" w:sz="4" w:space="0"/>
              <w:right w:val="single" w:color="auto" w:sz="4" w:space="0"/>
            </w:tcBorders>
            <w:noWrap w:val="0"/>
            <w:vAlign w:val="center"/>
          </w:tcPr>
          <w:p>
            <w:pPr>
              <w:pStyle w:val="3"/>
              <w:widowControl/>
              <w:rPr>
                <w:rFonts w:hint="eastAsia" w:ascii="仿宋" w:hAnsi="仿宋" w:eastAsia="仿宋" w:cstheme="minorBidi"/>
                <w:bCs/>
                <w:kern w:val="2"/>
                <w:sz w:val="21"/>
                <w:szCs w:val="21"/>
                <w:lang w:val="en-US" w:eastAsia="zh-CN" w:bidi="ar-SA"/>
              </w:rPr>
            </w:pPr>
          </w:p>
        </w:tc>
        <w:tc>
          <w:tcPr>
            <w:tcW w:w="456" w:type="pct"/>
            <w:tcBorders>
              <w:top w:val="single" w:color="auto" w:sz="4" w:space="0"/>
              <w:left w:val="single" w:color="auto" w:sz="4" w:space="0"/>
              <w:bottom w:val="single" w:color="auto" w:sz="4" w:space="0"/>
              <w:right w:val="single" w:color="auto" w:sz="4" w:space="0"/>
            </w:tcBorders>
            <w:noWrap w:val="0"/>
            <w:vAlign w:val="center"/>
          </w:tcPr>
          <w:p>
            <w:pPr>
              <w:pStyle w:val="3"/>
              <w:widowControl/>
              <w:rPr>
                <w:rFonts w:hint="eastAsia" w:ascii="仿宋" w:hAnsi="仿宋" w:eastAsia="仿宋" w:cstheme="minorBidi"/>
                <w:bCs/>
                <w:kern w:val="2"/>
                <w:sz w:val="21"/>
                <w:szCs w:val="21"/>
                <w:lang w:val="en-US" w:eastAsia="zh-CN" w:bidi="ar-SA"/>
              </w:rPr>
            </w:pPr>
          </w:p>
        </w:tc>
        <w:tc>
          <w:tcPr>
            <w:tcW w:w="483" w:type="pct"/>
            <w:tcBorders>
              <w:top w:val="single" w:color="auto" w:sz="4" w:space="0"/>
              <w:left w:val="single" w:color="auto" w:sz="4" w:space="0"/>
              <w:bottom w:val="single" w:color="auto" w:sz="4" w:space="0"/>
              <w:right w:val="single" w:color="auto" w:sz="4" w:space="0"/>
            </w:tcBorders>
            <w:noWrap w:val="0"/>
            <w:vAlign w:val="center"/>
          </w:tcPr>
          <w:p>
            <w:pPr>
              <w:pStyle w:val="3"/>
              <w:widowControl/>
              <w:rPr>
                <w:rFonts w:hint="eastAsia" w:ascii="仿宋" w:hAnsi="仿宋" w:eastAsia="仿宋" w:cstheme="minorBidi"/>
                <w:bCs/>
                <w:kern w:val="2"/>
                <w:sz w:val="21"/>
                <w:szCs w:val="21"/>
                <w:lang w:val="en-US" w:eastAsia="zh-CN" w:bidi="ar-SA"/>
              </w:rPr>
            </w:pPr>
          </w:p>
        </w:tc>
        <w:tc>
          <w:tcPr>
            <w:tcW w:w="552" w:type="pct"/>
            <w:tcBorders>
              <w:top w:val="single" w:color="auto" w:sz="4" w:space="0"/>
              <w:left w:val="single" w:color="auto" w:sz="4" w:space="0"/>
              <w:bottom w:val="single" w:color="auto" w:sz="4" w:space="0"/>
              <w:right w:val="single" w:color="auto" w:sz="4" w:space="0"/>
            </w:tcBorders>
            <w:noWrap w:val="0"/>
            <w:vAlign w:val="center"/>
          </w:tcPr>
          <w:p>
            <w:pPr>
              <w:pStyle w:val="3"/>
              <w:widowControl/>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520" w:type="pc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其他诊断错误</w:t>
            </w:r>
          </w:p>
        </w:tc>
        <w:tc>
          <w:tcPr>
            <w:tcW w:w="2308" w:type="pct"/>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入院记录正在治疗的疾病未列入病案首页其他诊断中，包括但不限于如下示例：</w:t>
            </w:r>
          </w:p>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1、医院入院记录特殊字段“正在治疗的疾病及用药”中明确书写的在患疾病未写入病案首页其他诊断中；</w:t>
            </w:r>
          </w:p>
          <w:p>
            <w:pPr>
              <w:pStyle w:val="3"/>
              <w:widowControl/>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2、病案首页肺动脉高压诊断未明确分度；</w:t>
            </w:r>
          </w:p>
        </w:tc>
        <w:tc>
          <w:tcPr>
            <w:tcW w:w="405" w:type="pct"/>
            <w:tcBorders>
              <w:top w:val="single" w:color="auto" w:sz="4" w:space="0"/>
              <w:left w:val="single" w:color="auto" w:sz="4" w:space="0"/>
              <w:bottom w:val="single" w:color="auto" w:sz="4" w:space="0"/>
              <w:right w:val="single" w:color="auto" w:sz="4" w:space="0"/>
            </w:tcBorders>
            <w:noWrap w:val="0"/>
            <w:vAlign w:val="center"/>
          </w:tcPr>
          <w:p>
            <w:pPr>
              <w:pStyle w:val="3"/>
              <w:widowControl/>
              <w:rPr>
                <w:rFonts w:hint="eastAsia" w:ascii="仿宋" w:hAnsi="仿宋" w:eastAsia="仿宋" w:cstheme="minorBidi"/>
                <w:bCs/>
                <w:kern w:val="2"/>
                <w:sz w:val="21"/>
                <w:szCs w:val="21"/>
                <w:lang w:val="en-US" w:eastAsia="zh-CN" w:bidi="ar-SA"/>
              </w:rPr>
            </w:pPr>
          </w:p>
        </w:tc>
        <w:tc>
          <w:tcPr>
            <w:tcW w:w="456" w:type="pct"/>
            <w:tcBorders>
              <w:top w:val="single" w:color="auto" w:sz="4" w:space="0"/>
              <w:left w:val="single" w:color="auto" w:sz="4" w:space="0"/>
              <w:bottom w:val="single" w:color="auto" w:sz="4" w:space="0"/>
              <w:right w:val="single" w:color="auto" w:sz="4" w:space="0"/>
            </w:tcBorders>
            <w:noWrap w:val="0"/>
            <w:vAlign w:val="center"/>
          </w:tcPr>
          <w:p>
            <w:pPr>
              <w:pStyle w:val="3"/>
              <w:widowControl/>
              <w:rPr>
                <w:rFonts w:hint="eastAsia" w:ascii="仿宋" w:hAnsi="仿宋" w:eastAsia="仿宋" w:cstheme="minorBidi"/>
                <w:bCs/>
                <w:kern w:val="2"/>
                <w:sz w:val="21"/>
                <w:szCs w:val="21"/>
                <w:lang w:val="en-US" w:eastAsia="zh-CN" w:bidi="ar-SA"/>
              </w:rPr>
            </w:pPr>
          </w:p>
        </w:tc>
        <w:tc>
          <w:tcPr>
            <w:tcW w:w="483" w:type="pct"/>
            <w:tcBorders>
              <w:top w:val="single" w:color="auto" w:sz="4" w:space="0"/>
              <w:left w:val="single" w:color="auto" w:sz="4" w:space="0"/>
              <w:bottom w:val="single" w:color="auto" w:sz="4" w:space="0"/>
              <w:right w:val="single" w:color="auto" w:sz="4" w:space="0"/>
            </w:tcBorders>
            <w:noWrap w:val="0"/>
            <w:vAlign w:val="center"/>
          </w:tcPr>
          <w:p>
            <w:pPr>
              <w:pStyle w:val="3"/>
              <w:widowControl/>
              <w:rPr>
                <w:rFonts w:hint="eastAsia" w:ascii="仿宋" w:hAnsi="仿宋" w:eastAsia="仿宋" w:cstheme="minorBidi"/>
                <w:bCs/>
                <w:kern w:val="2"/>
                <w:sz w:val="21"/>
                <w:szCs w:val="21"/>
                <w:lang w:val="en-US" w:eastAsia="zh-CN" w:bidi="ar-SA"/>
              </w:rPr>
            </w:pPr>
          </w:p>
        </w:tc>
        <w:tc>
          <w:tcPr>
            <w:tcW w:w="552" w:type="pct"/>
            <w:tcBorders>
              <w:top w:val="single" w:color="auto" w:sz="4" w:space="0"/>
              <w:left w:val="single" w:color="auto" w:sz="4" w:space="0"/>
              <w:bottom w:val="single" w:color="auto" w:sz="4" w:space="0"/>
              <w:right w:val="single" w:color="auto" w:sz="4" w:space="0"/>
            </w:tcBorders>
            <w:noWrap w:val="0"/>
            <w:vAlign w:val="center"/>
          </w:tcPr>
          <w:p>
            <w:pPr>
              <w:pStyle w:val="3"/>
              <w:widowControl/>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520" w:type="pc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手术操作错误</w:t>
            </w:r>
          </w:p>
        </w:tc>
        <w:tc>
          <w:tcPr>
            <w:tcW w:w="2308"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包括但不限于如下示例：</w:t>
            </w:r>
          </w:p>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本次住院期间的手术不应书写为术后状态的诊断</w:t>
            </w:r>
          </w:p>
        </w:tc>
        <w:tc>
          <w:tcPr>
            <w:tcW w:w="405"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456"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483"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552"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520" w:type="pc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手术操作遗漏</w:t>
            </w:r>
          </w:p>
        </w:tc>
        <w:tc>
          <w:tcPr>
            <w:tcW w:w="2308"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包括但不限于如下示例：</w:t>
            </w:r>
          </w:p>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手术记录、术后首次病程、术前小结中的手术/操作在病案首页中的遗漏</w:t>
            </w:r>
          </w:p>
        </w:tc>
        <w:tc>
          <w:tcPr>
            <w:tcW w:w="405"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456"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483"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552"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4" w:type="pc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病案首页360视图浏览</w:t>
            </w:r>
          </w:p>
        </w:tc>
        <w:tc>
          <w:tcPr>
            <w:tcW w:w="520" w:type="pc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病案及诊疗资料浏览</w:t>
            </w:r>
          </w:p>
        </w:tc>
        <w:tc>
          <w:tcPr>
            <w:tcW w:w="2308"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支持在质控过程中随时浏览患者本次住院的360维度信息，应包括：患者基本信息、入院记录、出院/死亡记录、病程记录、医嘱、检验检查结果、谈话记录等相关信息。</w:t>
            </w:r>
          </w:p>
        </w:tc>
        <w:tc>
          <w:tcPr>
            <w:tcW w:w="405"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456"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483"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552"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4" w:type="pct"/>
            <w:vMerge w:val="restart"/>
            <w:tcBorders>
              <w:top w:val="single" w:color="auto" w:sz="4" w:space="0"/>
              <w:left w:val="single" w:color="auto" w:sz="4" w:space="0"/>
              <w:right w:val="single" w:color="auto" w:sz="4" w:space="0"/>
            </w:tcBorders>
            <w:noWrap w:val="0"/>
            <w:vAlign w:val="center"/>
          </w:tcPr>
          <w:p>
            <w:pPr>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病案事前提醒</w:t>
            </w:r>
          </w:p>
        </w:tc>
        <w:tc>
          <w:tcPr>
            <w:tcW w:w="520" w:type="pct"/>
            <w:vMerge w:val="restart"/>
            <w:tcBorders>
              <w:top w:val="single" w:color="auto" w:sz="4" w:space="0"/>
              <w:left w:val="single" w:color="auto" w:sz="4" w:space="0"/>
              <w:right w:val="single" w:color="auto" w:sz="4" w:space="0"/>
            </w:tcBorders>
            <w:noWrap w:val="0"/>
            <w:vAlign w:val="center"/>
          </w:tcPr>
          <w:p>
            <w:pPr>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编码员实时质控</w:t>
            </w:r>
          </w:p>
        </w:tc>
        <w:tc>
          <w:tcPr>
            <w:tcW w:w="2308"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支持病案室端在编码过程中进行实时、智能提示，编码员可根据系统提示内容和建议修改病案首页。</w:t>
            </w:r>
          </w:p>
        </w:tc>
        <w:tc>
          <w:tcPr>
            <w:tcW w:w="405"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456"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483"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552"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4" w:type="pct"/>
            <w:vMerge w:val="continue"/>
            <w:tcBorders>
              <w:left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520" w:type="pct"/>
            <w:vMerge w:val="continue"/>
            <w:tcBorders>
              <w:left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2308"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支持查看人工质控结果，对人工质控的问题进行实时反馈。</w:t>
            </w:r>
          </w:p>
        </w:tc>
        <w:tc>
          <w:tcPr>
            <w:tcW w:w="405"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456"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483"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552"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4" w:type="pct"/>
            <w:vMerge w:val="continue"/>
            <w:tcBorders>
              <w:left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520" w:type="pct"/>
            <w:vMerge w:val="continue"/>
            <w:tcBorders>
              <w:left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2308"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支持查询人工反馈有问题的病案列表，并查看问题。</w:t>
            </w:r>
          </w:p>
        </w:tc>
        <w:tc>
          <w:tcPr>
            <w:tcW w:w="405"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456"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483"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552"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4" w:type="pct"/>
            <w:vMerge w:val="continue"/>
            <w:tcBorders>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520" w:type="pct"/>
            <w:vMerge w:val="continue"/>
            <w:tcBorders>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2308"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编码员编录首页的结果反馈到医生端</w:t>
            </w:r>
          </w:p>
        </w:tc>
        <w:tc>
          <w:tcPr>
            <w:tcW w:w="405"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456"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483"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552"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4" w:type="pct"/>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病案事中质控</w:t>
            </w:r>
          </w:p>
        </w:tc>
        <w:tc>
          <w:tcPr>
            <w:tcW w:w="520" w:type="pc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病案首页查询</w:t>
            </w:r>
          </w:p>
        </w:tc>
        <w:tc>
          <w:tcPr>
            <w:tcW w:w="2308"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支持病案首页按科室、病区、出入院日期、病案号、患者、问题类型、首页得分等条件进行快速查询，可根据数据权限按科室、按病区控制数据查询范围。</w:t>
            </w:r>
          </w:p>
        </w:tc>
        <w:tc>
          <w:tcPr>
            <w:tcW w:w="405"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456"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483"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552"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520" w:type="pct"/>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质控人员实时质控</w:t>
            </w:r>
          </w:p>
        </w:tc>
        <w:tc>
          <w:tcPr>
            <w:tcW w:w="2308"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支持质控人员快速查询病案、并对系统质控结果进行人工质控。</w:t>
            </w:r>
          </w:p>
        </w:tc>
        <w:tc>
          <w:tcPr>
            <w:tcW w:w="405"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456"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483"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552"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520" w:type="pct"/>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2308"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支持人工质控结果实时反馈给编码员。</w:t>
            </w:r>
          </w:p>
        </w:tc>
        <w:tc>
          <w:tcPr>
            <w:tcW w:w="405"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456"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483"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552"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520" w:type="pct"/>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2308"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支持对编码员反馈的病案问题快速查询，并对反馈的结果进行再次审核。</w:t>
            </w:r>
          </w:p>
        </w:tc>
        <w:tc>
          <w:tcPr>
            <w:tcW w:w="405"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456"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483"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552"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520" w:type="pc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病案首页自动评分</w:t>
            </w:r>
          </w:p>
        </w:tc>
        <w:tc>
          <w:tcPr>
            <w:tcW w:w="2308"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可基于医院所属省份运首页评分表内容，进行评分表展现。评分表包含：评分项目、评分标准、评分方法、扣分结果、扣分理由。</w:t>
            </w:r>
          </w:p>
        </w:tc>
        <w:tc>
          <w:tcPr>
            <w:tcW w:w="405"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456"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483"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552"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4" w:type="pct"/>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病案事后质控</w:t>
            </w:r>
          </w:p>
        </w:tc>
        <w:tc>
          <w:tcPr>
            <w:tcW w:w="520" w:type="pct"/>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质控任务管理</w:t>
            </w:r>
          </w:p>
        </w:tc>
        <w:tc>
          <w:tcPr>
            <w:tcW w:w="2308"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支持质控管理人员定期创建质控任务，并指定任务执行人和期望完成日期，然后选择要进行抽查的病案（支持随机选择）完成任务的创建。</w:t>
            </w:r>
          </w:p>
        </w:tc>
        <w:tc>
          <w:tcPr>
            <w:tcW w:w="405"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456"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483"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552"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520" w:type="pct"/>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2308"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支持质控管理人员实时查看质控任务的进展情况，以及质控结果，在任务完成后，可以结束任务。</w:t>
            </w:r>
          </w:p>
        </w:tc>
        <w:tc>
          <w:tcPr>
            <w:tcW w:w="405"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456"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483"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552"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520" w:type="pct"/>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2308"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质控人员接到质控任务后，对任务中的病案进行质量审核。</w:t>
            </w:r>
          </w:p>
        </w:tc>
        <w:tc>
          <w:tcPr>
            <w:tcW w:w="405"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456"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483"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552"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520" w:type="pc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质控问题快速原文定位</w:t>
            </w:r>
          </w:p>
        </w:tc>
        <w:tc>
          <w:tcPr>
            <w:tcW w:w="2308"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质控人员在质控过程中可添加系统未质控出的问题，系统质控的问题支持快速原文定位，方便人工对结果进行快速判断。</w:t>
            </w:r>
          </w:p>
        </w:tc>
        <w:tc>
          <w:tcPr>
            <w:tcW w:w="405"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456"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483"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552"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4" w:type="pct"/>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病案首页质控规则维护</w:t>
            </w:r>
          </w:p>
        </w:tc>
        <w:tc>
          <w:tcPr>
            <w:tcW w:w="520" w:type="pct"/>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病案质控规则</w:t>
            </w:r>
          </w:p>
        </w:tc>
        <w:tc>
          <w:tcPr>
            <w:tcW w:w="2308"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支持按规则名称、规则逻辑、规则类型、专科类型、规则分类、规则环节、规则来源等维度进行规则的查询。</w:t>
            </w:r>
          </w:p>
        </w:tc>
        <w:tc>
          <w:tcPr>
            <w:tcW w:w="405"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456"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483"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552"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520" w:type="pct"/>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2308"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支持规则的生效状态进行开启/关闭。</w:t>
            </w:r>
          </w:p>
        </w:tc>
        <w:tc>
          <w:tcPr>
            <w:tcW w:w="405"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456"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483"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552"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520" w:type="pct"/>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2308"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支持规则级别的配置，支持多级配置。</w:t>
            </w:r>
          </w:p>
        </w:tc>
        <w:tc>
          <w:tcPr>
            <w:tcW w:w="405"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456"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483"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552"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4" w:type="pct"/>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360维度病案首页数据质量管理和分析</w:t>
            </w:r>
          </w:p>
        </w:tc>
        <w:tc>
          <w:tcPr>
            <w:tcW w:w="520" w:type="pct"/>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病案统计分析</w:t>
            </w:r>
          </w:p>
        </w:tc>
        <w:tc>
          <w:tcPr>
            <w:tcW w:w="2308"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系统应支持按一定时间范围、科室等不同维度进行全院病案首页质控情况分析，实时显示出院患者数、入院患者数、使用抗菌药物患者数、手术患者数。</w:t>
            </w:r>
          </w:p>
        </w:tc>
        <w:tc>
          <w:tcPr>
            <w:tcW w:w="405"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456"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483"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552"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8" w:hRule="atLeast"/>
          <w:jc w:val="center"/>
        </w:trP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520" w:type="pct"/>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2308"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系统应支持全院病案首页问题情况在一定时间段内的多维度数据展示，至少应包括：单项否决问题数、完整性问题数、合规性问题数、一致性问题数、总体问题数、当月环比率、质量问题情况趋势等病历数据内容。</w:t>
            </w:r>
          </w:p>
        </w:tc>
        <w:tc>
          <w:tcPr>
            <w:tcW w:w="405"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456"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483"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552"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520" w:type="pct"/>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2308"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系统应支持不同病区科室/医生病案首页问题执行情况进行分析，至少包括：单项否决问题数、完整性问题数、合规性问题数、一致性问题数、总体等数据内容进行走势分析。</w:t>
            </w:r>
          </w:p>
        </w:tc>
        <w:tc>
          <w:tcPr>
            <w:tcW w:w="405"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456"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483"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552"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520" w:type="pct"/>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病案问题分析</w:t>
            </w:r>
          </w:p>
        </w:tc>
        <w:tc>
          <w:tcPr>
            <w:tcW w:w="2308"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按日期范围统计问题数量、问题发生率、问题采纳率。</w:t>
            </w:r>
          </w:p>
        </w:tc>
        <w:tc>
          <w:tcPr>
            <w:tcW w:w="405"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456"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483"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552"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520" w:type="pct"/>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2308"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按日、月、年统计问题的数量、问题发生率、问题采纳率的趋势。</w:t>
            </w:r>
          </w:p>
        </w:tc>
        <w:tc>
          <w:tcPr>
            <w:tcW w:w="405"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456"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483"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552"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520" w:type="pct"/>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2308"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按质控问题统计科室、医疗组、医生，问题的数量、问题发生率、问题采纳率。</w:t>
            </w:r>
          </w:p>
        </w:tc>
        <w:tc>
          <w:tcPr>
            <w:tcW w:w="405"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456"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483"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552"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520" w:type="pct"/>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问题追溯</w:t>
            </w:r>
          </w:p>
        </w:tc>
        <w:tc>
          <w:tcPr>
            <w:tcW w:w="2308"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支持统计分析结果下钻到每一份病案。</w:t>
            </w:r>
          </w:p>
        </w:tc>
        <w:tc>
          <w:tcPr>
            <w:tcW w:w="405"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456"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483"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552"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520" w:type="pct"/>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2308"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支持对全院病案首页质控情况进行可视化、多维度展示，能够帮助医院质控部门对全面及时掌握医院质控现状，并协助制定合理的质量改进计划。</w:t>
            </w:r>
          </w:p>
        </w:tc>
        <w:tc>
          <w:tcPr>
            <w:tcW w:w="405"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456"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483"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552"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4" w:type="pct"/>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编码质控</w:t>
            </w:r>
          </w:p>
        </w:tc>
        <w:tc>
          <w:tcPr>
            <w:tcW w:w="520"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诊断编码质控</w:t>
            </w:r>
          </w:p>
        </w:tc>
        <w:tc>
          <w:tcPr>
            <w:tcW w:w="2308"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对病案首页的主诊选择错误、诊断漏编、合并编码、编码冲突、以及编码位置错误等编码问题进行质控，支持不低于3000多条编码质量控制规则。</w:t>
            </w:r>
          </w:p>
        </w:tc>
        <w:tc>
          <w:tcPr>
            <w:tcW w:w="405"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456"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483"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552"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520"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手术编码质控</w:t>
            </w:r>
          </w:p>
        </w:tc>
        <w:tc>
          <w:tcPr>
            <w:tcW w:w="2308"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系统应涵盖另编码遗漏、另编码疑似遗漏、手术省略编码多编、手术编码冲突以及合并编码等不同手术编码问题进行质控。</w:t>
            </w:r>
          </w:p>
        </w:tc>
        <w:tc>
          <w:tcPr>
            <w:tcW w:w="405"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456"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483"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552"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520"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编码规则管理</w:t>
            </w:r>
          </w:p>
        </w:tc>
        <w:tc>
          <w:tcPr>
            <w:tcW w:w="2308"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支持按规则原文、规则章节、专业类型、提醒类型、规则状态、提醒级别进行规则的查询。</w:t>
            </w:r>
          </w:p>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支持对规则的生效状态进行开启/关闭。</w:t>
            </w:r>
          </w:p>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支持规则级别的配置，支持多级配置。</w:t>
            </w:r>
          </w:p>
        </w:tc>
        <w:tc>
          <w:tcPr>
            <w:tcW w:w="405"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456"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483"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552"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520"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编码统计分析</w:t>
            </w:r>
          </w:p>
        </w:tc>
        <w:tc>
          <w:tcPr>
            <w:tcW w:w="2308"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支持按照出院月份（起止）、病历归档状态、专业类型（至少包含主诊断选择错误、主手术选择错误、性别与疾病逻辑冲突、另编码遗漏等26类）、章节（包含肿瘤、神经系统等46章）自动统计每条质控规则的质控总数、不通过数、不通过率、修正问题数、修正率。支持点击表头排序及下载表单内容。点击规则名称可跳转至该规则的问题趋势图（失败率/修正率），并展示问题管理列表，可按科室、医疗组、主治医生展示问题病历数、失败率（当前值、环比值、环比比率）、修正病历数、问题修正率（当前值、环比值、环比比率）。</w:t>
            </w:r>
          </w:p>
        </w:tc>
        <w:tc>
          <w:tcPr>
            <w:tcW w:w="405"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456"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483"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552"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4" w:type="pct"/>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权限配置</w:t>
            </w:r>
          </w:p>
        </w:tc>
        <w:tc>
          <w:tcPr>
            <w:tcW w:w="520" w:type="pct"/>
            <w:vMerge w:val="restar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用户管理</w:t>
            </w:r>
          </w:p>
        </w:tc>
        <w:tc>
          <w:tcPr>
            <w:tcW w:w="2308"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系统支持管理员设置不同角色权限，不同权限的角色在使用时功能模块和数据不一致。</w:t>
            </w:r>
          </w:p>
        </w:tc>
        <w:tc>
          <w:tcPr>
            <w:tcW w:w="405"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456"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483"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552"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520" w:type="pct"/>
            <w:vMerge w:val="continue"/>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2308"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系统支持管理员对角色的功能模块权限进行自定义配置管理。</w:t>
            </w:r>
          </w:p>
        </w:tc>
        <w:tc>
          <w:tcPr>
            <w:tcW w:w="405"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456"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483"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552"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520" w:type="pct"/>
            <w:vMerge w:val="continue"/>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2308"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系统支持管理员对角色数据查看权限的范围进行自定义配置管理。</w:t>
            </w:r>
          </w:p>
        </w:tc>
        <w:tc>
          <w:tcPr>
            <w:tcW w:w="405"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456"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483"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552"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theme="minorBidi"/>
                <w:bCs/>
                <w:kern w:val="2"/>
                <w:sz w:val="21"/>
                <w:szCs w:val="21"/>
                <w:lang w:val="en-US" w:eastAsia="zh-CN" w:bidi="ar-SA"/>
              </w:rPr>
            </w:pPr>
          </w:p>
        </w:tc>
        <w:tc>
          <w:tcPr>
            <w:tcW w:w="520"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字典维护</w:t>
            </w:r>
          </w:p>
        </w:tc>
        <w:tc>
          <w:tcPr>
            <w:tcW w:w="2308"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质检问题字典维护，按照国家规定配置质检评分表，提供质检问题模板维护功能。</w:t>
            </w:r>
          </w:p>
        </w:tc>
        <w:tc>
          <w:tcPr>
            <w:tcW w:w="405"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456"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483"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c>
          <w:tcPr>
            <w:tcW w:w="552"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theme="minorBidi"/>
                <w:bCs/>
                <w:kern w:val="2"/>
                <w:sz w:val="21"/>
                <w:szCs w:val="21"/>
                <w:lang w:val="en-US" w:eastAsia="zh-CN" w:bidi="ar-SA"/>
              </w:rPr>
            </w:pPr>
          </w:p>
        </w:tc>
      </w:tr>
    </w:tbl>
    <w:p>
      <w:pPr>
        <w:spacing w:line="280" w:lineRule="exact"/>
        <w:rPr>
          <w:rFonts w:ascii="仿宋" w:hAnsi="仿宋" w:eastAsia="仿宋"/>
          <w:szCs w:val="21"/>
        </w:rPr>
      </w:pPr>
      <w:bookmarkStart w:id="0" w:name="_GoBack"/>
      <w:bookmarkEnd w:id="0"/>
    </w:p>
    <w:sectPr>
      <w:footerReference r:id="rId3" w:type="default"/>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2194564"/>
      <w:docPartObj>
        <w:docPartGallery w:val="autotext"/>
      </w:docPartObj>
    </w:sdtPr>
    <w:sdtContent>
      <w:sdt>
        <w:sdtPr>
          <w:id w:val="171357217"/>
          <w:docPartObj>
            <w:docPartGallery w:val="autotext"/>
          </w:docPartObj>
        </w:sdtPr>
        <w:sdtContent>
          <w:p>
            <w:pPr>
              <w:pStyle w:val="4"/>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1</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1</w:t>
            </w:r>
            <w:r>
              <w:rPr>
                <w:b/>
                <w:sz w:val="24"/>
                <w:szCs w:val="24"/>
              </w:rPr>
              <w:fldChar w:fldCharType="end"/>
            </w:r>
          </w:p>
        </w:sdtContent>
      </w:sdt>
    </w:sdtContent>
  </w:sdt>
  <w:p>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63E8A78"/>
    <w:multiLevelType w:val="multilevel"/>
    <w:tmpl w:val="F63E8A78"/>
    <w:lvl w:ilvl="0" w:tentative="0">
      <w:start w:val="1"/>
      <w:numFmt w:val="decimal"/>
      <w:suff w:val="nothing"/>
      <w:lvlText w:val="（%1）"/>
      <w:lvlJc w:val="left"/>
      <w:pPr>
        <w:ind w:left="0" w:firstLine="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FD3F14AF"/>
    <w:multiLevelType w:val="multilevel"/>
    <w:tmpl w:val="FD3F14AF"/>
    <w:lvl w:ilvl="0" w:tentative="0">
      <w:start w:val="1"/>
      <w:numFmt w:val="decimal"/>
      <w:suff w:val="nothing"/>
      <w:lvlText w:val="（%1）"/>
      <w:lvlJc w:val="left"/>
      <w:pPr>
        <w:ind w:left="0" w:firstLine="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00000009"/>
    <w:multiLevelType w:val="multilevel"/>
    <w:tmpl w:val="00000009"/>
    <w:lvl w:ilvl="0" w:tentative="0">
      <w:start w:val="9"/>
      <w:numFmt w:val="decimal"/>
      <w:pStyle w:val="14"/>
      <w:suff w:val="space"/>
      <w:lvlText w:val="%1."/>
      <w:lvlJc w:val="left"/>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3163052"/>
    <w:multiLevelType w:val="multilevel"/>
    <w:tmpl w:val="23163052"/>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250C5893"/>
    <w:multiLevelType w:val="singleLevel"/>
    <w:tmpl w:val="250C5893"/>
    <w:lvl w:ilvl="0" w:tentative="0">
      <w:start w:val="1"/>
      <w:numFmt w:val="decimal"/>
      <w:suff w:val="nothing"/>
      <w:lvlText w:val="%1、"/>
      <w:lvlJc w:val="left"/>
    </w:lvl>
  </w:abstractNum>
  <w:num w:numId="1">
    <w:abstractNumId w:val="2"/>
  </w:num>
  <w:num w:numId="2">
    <w:abstractNumId w:val="0"/>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ODMwZWE0MjdkNmUyYzJlNjJmNTM0ODJjOTJiNjk2Y2IifQ=="/>
  </w:docVars>
  <w:rsids>
    <w:rsidRoot w:val="00424DB4"/>
    <w:rsid w:val="00001318"/>
    <w:rsid w:val="00002283"/>
    <w:rsid w:val="000050A7"/>
    <w:rsid w:val="000053EE"/>
    <w:rsid w:val="00010931"/>
    <w:rsid w:val="00011CA3"/>
    <w:rsid w:val="00023E48"/>
    <w:rsid w:val="00034183"/>
    <w:rsid w:val="00043348"/>
    <w:rsid w:val="0004370B"/>
    <w:rsid w:val="00043D0A"/>
    <w:rsid w:val="00053C66"/>
    <w:rsid w:val="00053F67"/>
    <w:rsid w:val="00055EBF"/>
    <w:rsid w:val="00056058"/>
    <w:rsid w:val="00061DAF"/>
    <w:rsid w:val="0006484E"/>
    <w:rsid w:val="000858E8"/>
    <w:rsid w:val="000867AB"/>
    <w:rsid w:val="000A24D6"/>
    <w:rsid w:val="000A3C7E"/>
    <w:rsid w:val="000C1110"/>
    <w:rsid w:val="000C7CFD"/>
    <w:rsid w:val="000D354B"/>
    <w:rsid w:val="000D514B"/>
    <w:rsid w:val="000D6B6A"/>
    <w:rsid w:val="000F40F9"/>
    <w:rsid w:val="000F729B"/>
    <w:rsid w:val="000F74F7"/>
    <w:rsid w:val="001018DA"/>
    <w:rsid w:val="00103C1B"/>
    <w:rsid w:val="00105146"/>
    <w:rsid w:val="001153A4"/>
    <w:rsid w:val="00116395"/>
    <w:rsid w:val="00120EB8"/>
    <w:rsid w:val="00124B21"/>
    <w:rsid w:val="00127487"/>
    <w:rsid w:val="00136812"/>
    <w:rsid w:val="00147F41"/>
    <w:rsid w:val="001548BF"/>
    <w:rsid w:val="00162A53"/>
    <w:rsid w:val="00165886"/>
    <w:rsid w:val="00165CBE"/>
    <w:rsid w:val="00165F93"/>
    <w:rsid w:val="0017321A"/>
    <w:rsid w:val="0018577B"/>
    <w:rsid w:val="00186D6A"/>
    <w:rsid w:val="00187F24"/>
    <w:rsid w:val="00193FF1"/>
    <w:rsid w:val="00196E0E"/>
    <w:rsid w:val="001A0031"/>
    <w:rsid w:val="001A657D"/>
    <w:rsid w:val="001B0660"/>
    <w:rsid w:val="001B24DD"/>
    <w:rsid w:val="001B56D9"/>
    <w:rsid w:val="001B6813"/>
    <w:rsid w:val="001D4FEB"/>
    <w:rsid w:val="001D54F8"/>
    <w:rsid w:val="001E2B39"/>
    <w:rsid w:val="001F1A74"/>
    <w:rsid w:val="001F2DD0"/>
    <w:rsid w:val="001F34DF"/>
    <w:rsid w:val="001F4EB8"/>
    <w:rsid w:val="001F6DDD"/>
    <w:rsid w:val="00201754"/>
    <w:rsid w:val="00213A9E"/>
    <w:rsid w:val="002160CC"/>
    <w:rsid w:val="002167A8"/>
    <w:rsid w:val="00220DFE"/>
    <w:rsid w:val="002220EC"/>
    <w:rsid w:val="002251AD"/>
    <w:rsid w:val="00226CF3"/>
    <w:rsid w:val="002451BD"/>
    <w:rsid w:val="002643E0"/>
    <w:rsid w:val="00273463"/>
    <w:rsid w:val="0027592C"/>
    <w:rsid w:val="00276C68"/>
    <w:rsid w:val="0028637D"/>
    <w:rsid w:val="00293E71"/>
    <w:rsid w:val="002A1DD3"/>
    <w:rsid w:val="002A7CA5"/>
    <w:rsid w:val="002B077D"/>
    <w:rsid w:val="002C5A78"/>
    <w:rsid w:val="002D3C54"/>
    <w:rsid w:val="002E5FE9"/>
    <w:rsid w:val="002F1DC9"/>
    <w:rsid w:val="002F4594"/>
    <w:rsid w:val="002F46AF"/>
    <w:rsid w:val="003035B7"/>
    <w:rsid w:val="00305A35"/>
    <w:rsid w:val="00307C82"/>
    <w:rsid w:val="0031412D"/>
    <w:rsid w:val="003231BF"/>
    <w:rsid w:val="00397F20"/>
    <w:rsid w:val="003A4ABD"/>
    <w:rsid w:val="003A4DFC"/>
    <w:rsid w:val="003B2393"/>
    <w:rsid w:val="003B5AB4"/>
    <w:rsid w:val="003D4C81"/>
    <w:rsid w:val="003D6E3F"/>
    <w:rsid w:val="003D7845"/>
    <w:rsid w:val="003E0078"/>
    <w:rsid w:val="003E0AE6"/>
    <w:rsid w:val="003E0D05"/>
    <w:rsid w:val="003F1A9D"/>
    <w:rsid w:val="00407847"/>
    <w:rsid w:val="00411CFD"/>
    <w:rsid w:val="00424DB4"/>
    <w:rsid w:val="00445BF7"/>
    <w:rsid w:val="00457EBA"/>
    <w:rsid w:val="004767E6"/>
    <w:rsid w:val="00481DEA"/>
    <w:rsid w:val="004842A3"/>
    <w:rsid w:val="00485FE3"/>
    <w:rsid w:val="004A0993"/>
    <w:rsid w:val="004A5436"/>
    <w:rsid w:val="004B1150"/>
    <w:rsid w:val="004B3164"/>
    <w:rsid w:val="004B3DBC"/>
    <w:rsid w:val="004B5CAC"/>
    <w:rsid w:val="004C1CF2"/>
    <w:rsid w:val="004C4760"/>
    <w:rsid w:val="004C6035"/>
    <w:rsid w:val="004D5C73"/>
    <w:rsid w:val="004E1B33"/>
    <w:rsid w:val="004E2A85"/>
    <w:rsid w:val="00511A86"/>
    <w:rsid w:val="00514522"/>
    <w:rsid w:val="005145B6"/>
    <w:rsid w:val="005155A7"/>
    <w:rsid w:val="005158E8"/>
    <w:rsid w:val="00523A9D"/>
    <w:rsid w:val="0052437C"/>
    <w:rsid w:val="0052798A"/>
    <w:rsid w:val="00545065"/>
    <w:rsid w:val="005612E4"/>
    <w:rsid w:val="00566A3D"/>
    <w:rsid w:val="00575D2D"/>
    <w:rsid w:val="00577E01"/>
    <w:rsid w:val="0058339A"/>
    <w:rsid w:val="00596FF5"/>
    <w:rsid w:val="00597228"/>
    <w:rsid w:val="0059737C"/>
    <w:rsid w:val="005A36BC"/>
    <w:rsid w:val="005A5561"/>
    <w:rsid w:val="005B4E7B"/>
    <w:rsid w:val="005B4F92"/>
    <w:rsid w:val="005D47E2"/>
    <w:rsid w:val="005F0ECD"/>
    <w:rsid w:val="00611588"/>
    <w:rsid w:val="006149F3"/>
    <w:rsid w:val="00630F0B"/>
    <w:rsid w:val="006315D9"/>
    <w:rsid w:val="006425D3"/>
    <w:rsid w:val="00644477"/>
    <w:rsid w:val="00646EFF"/>
    <w:rsid w:val="006472D6"/>
    <w:rsid w:val="0065390A"/>
    <w:rsid w:val="00655DD8"/>
    <w:rsid w:val="0065619A"/>
    <w:rsid w:val="00656F9B"/>
    <w:rsid w:val="00674E19"/>
    <w:rsid w:val="006751A9"/>
    <w:rsid w:val="006A1E6F"/>
    <w:rsid w:val="006A2E83"/>
    <w:rsid w:val="006B00DE"/>
    <w:rsid w:val="006B5D2A"/>
    <w:rsid w:val="006D1CF2"/>
    <w:rsid w:val="006D2949"/>
    <w:rsid w:val="006D5CA6"/>
    <w:rsid w:val="006E3CE4"/>
    <w:rsid w:val="007011B1"/>
    <w:rsid w:val="00703D37"/>
    <w:rsid w:val="00706052"/>
    <w:rsid w:val="007074BD"/>
    <w:rsid w:val="00715BE8"/>
    <w:rsid w:val="0072140C"/>
    <w:rsid w:val="00745B6A"/>
    <w:rsid w:val="007500BF"/>
    <w:rsid w:val="0075154A"/>
    <w:rsid w:val="00757F42"/>
    <w:rsid w:val="00770BFB"/>
    <w:rsid w:val="00772C38"/>
    <w:rsid w:val="00776FB7"/>
    <w:rsid w:val="0077720D"/>
    <w:rsid w:val="0078294C"/>
    <w:rsid w:val="0078396A"/>
    <w:rsid w:val="00783988"/>
    <w:rsid w:val="00791ED1"/>
    <w:rsid w:val="00792F55"/>
    <w:rsid w:val="00796F23"/>
    <w:rsid w:val="007A2200"/>
    <w:rsid w:val="007B2BF5"/>
    <w:rsid w:val="007B44F5"/>
    <w:rsid w:val="007C0F20"/>
    <w:rsid w:val="007C64E2"/>
    <w:rsid w:val="007C77D2"/>
    <w:rsid w:val="007D128C"/>
    <w:rsid w:val="007F1FF3"/>
    <w:rsid w:val="007F72EE"/>
    <w:rsid w:val="0080420A"/>
    <w:rsid w:val="008056D0"/>
    <w:rsid w:val="00811886"/>
    <w:rsid w:val="00824B71"/>
    <w:rsid w:val="00847753"/>
    <w:rsid w:val="00847A3B"/>
    <w:rsid w:val="0085631E"/>
    <w:rsid w:val="00864B32"/>
    <w:rsid w:val="00865BB3"/>
    <w:rsid w:val="00874654"/>
    <w:rsid w:val="00881362"/>
    <w:rsid w:val="00882830"/>
    <w:rsid w:val="00890A8A"/>
    <w:rsid w:val="0089602A"/>
    <w:rsid w:val="008A6728"/>
    <w:rsid w:val="008B0511"/>
    <w:rsid w:val="008B5062"/>
    <w:rsid w:val="008D74CA"/>
    <w:rsid w:val="008F3959"/>
    <w:rsid w:val="008F4405"/>
    <w:rsid w:val="00903E1D"/>
    <w:rsid w:val="00905854"/>
    <w:rsid w:val="0091705B"/>
    <w:rsid w:val="00917314"/>
    <w:rsid w:val="00917684"/>
    <w:rsid w:val="00927E50"/>
    <w:rsid w:val="00932055"/>
    <w:rsid w:val="00934412"/>
    <w:rsid w:val="0094514A"/>
    <w:rsid w:val="0097447A"/>
    <w:rsid w:val="0098543F"/>
    <w:rsid w:val="009865B1"/>
    <w:rsid w:val="00986D55"/>
    <w:rsid w:val="00993FE8"/>
    <w:rsid w:val="00996932"/>
    <w:rsid w:val="009B0355"/>
    <w:rsid w:val="009B36A3"/>
    <w:rsid w:val="009B70B7"/>
    <w:rsid w:val="009E2359"/>
    <w:rsid w:val="009E4466"/>
    <w:rsid w:val="00A024EE"/>
    <w:rsid w:val="00A069B9"/>
    <w:rsid w:val="00A11A36"/>
    <w:rsid w:val="00A46863"/>
    <w:rsid w:val="00A528E9"/>
    <w:rsid w:val="00A669AF"/>
    <w:rsid w:val="00A7303F"/>
    <w:rsid w:val="00A83FE7"/>
    <w:rsid w:val="00A9205C"/>
    <w:rsid w:val="00A92F2C"/>
    <w:rsid w:val="00A9357B"/>
    <w:rsid w:val="00A9700C"/>
    <w:rsid w:val="00AA0C5C"/>
    <w:rsid w:val="00AB75E3"/>
    <w:rsid w:val="00AC18B2"/>
    <w:rsid w:val="00AD049E"/>
    <w:rsid w:val="00AD5396"/>
    <w:rsid w:val="00AD7B1E"/>
    <w:rsid w:val="00AE264C"/>
    <w:rsid w:val="00AE65B2"/>
    <w:rsid w:val="00AF1D3E"/>
    <w:rsid w:val="00B110AE"/>
    <w:rsid w:val="00B117A1"/>
    <w:rsid w:val="00B21A8C"/>
    <w:rsid w:val="00B2560D"/>
    <w:rsid w:val="00B25C0A"/>
    <w:rsid w:val="00B41383"/>
    <w:rsid w:val="00B42CFE"/>
    <w:rsid w:val="00B43273"/>
    <w:rsid w:val="00B43844"/>
    <w:rsid w:val="00B4445A"/>
    <w:rsid w:val="00B4619C"/>
    <w:rsid w:val="00B51795"/>
    <w:rsid w:val="00B51940"/>
    <w:rsid w:val="00B62D53"/>
    <w:rsid w:val="00B73A12"/>
    <w:rsid w:val="00B90A21"/>
    <w:rsid w:val="00BA2652"/>
    <w:rsid w:val="00BA62D7"/>
    <w:rsid w:val="00BB301F"/>
    <w:rsid w:val="00BC7640"/>
    <w:rsid w:val="00BD03D9"/>
    <w:rsid w:val="00BD5665"/>
    <w:rsid w:val="00BD64AD"/>
    <w:rsid w:val="00BF09B8"/>
    <w:rsid w:val="00BF0DCA"/>
    <w:rsid w:val="00BF2461"/>
    <w:rsid w:val="00BF7063"/>
    <w:rsid w:val="00C015AC"/>
    <w:rsid w:val="00C02E61"/>
    <w:rsid w:val="00C0314C"/>
    <w:rsid w:val="00C1190C"/>
    <w:rsid w:val="00C12783"/>
    <w:rsid w:val="00C2617D"/>
    <w:rsid w:val="00C3081E"/>
    <w:rsid w:val="00C33276"/>
    <w:rsid w:val="00C431F3"/>
    <w:rsid w:val="00C46D12"/>
    <w:rsid w:val="00C536E0"/>
    <w:rsid w:val="00C53BAD"/>
    <w:rsid w:val="00C5766B"/>
    <w:rsid w:val="00C635B8"/>
    <w:rsid w:val="00C6413C"/>
    <w:rsid w:val="00C76482"/>
    <w:rsid w:val="00C91F49"/>
    <w:rsid w:val="00C93FD2"/>
    <w:rsid w:val="00C942E1"/>
    <w:rsid w:val="00CA11F9"/>
    <w:rsid w:val="00CA4609"/>
    <w:rsid w:val="00CC277B"/>
    <w:rsid w:val="00CE0038"/>
    <w:rsid w:val="00CE7DE7"/>
    <w:rsid w:val="00CF101E"/>
    <w:rsid w:val="00CF5F8A"/>
    <w:rsid w:val="00CF79D1"/>
    <w:rsid w:val="00D0249F"/>
    <w:rsid w:val="00D122B3"/>
    <w:rsid w:val="00D27B75"/>
    <w:rsid w:val="00D27C90"/>
    <w:rsid w:val="00D303AF"/>
    <w:rsid w:val="00D43C95"/>
    <w:rsid w:val="00D51D39"/>
    <w:rsid w:val="00D535B5"/>
    <w:rsid w:val="00D53FD5"/>
    <w:rsid w:val="00D668DA"/>
    <w:rsid w:val="00D7257F"/>
    <w:rsid w:val="00D80CC2"/>
    <w:rsid w:val="00DA4FE2"/>
    <w:rsid w:val="00DB09D0"/>
    <w:rsid w:val="00DB3885"/>
    <w:rsid w:val="00DD5B7C"/>
    <w:rsid w:val="00DD79ED"/>
    <w:rsid w:val="00DF3FEC"/>
    <w:rsid w:val="00E0491B"/>
    <w:rsid w:val="00E04C87"/>
    <w:rsid w:val="00E20590"/>
    <w:rsid w:val="00E2199E"/>
    <w:rsid w:val="00E26EB1"/>
    <w:rsid w:val="00E27736"/>
    <w:rsid w:val="00E3091F"/>
    <w:rsid w:val="00E35D35"/>
    <w:rsid w:val="00E42660"/>
    <w:rsid w:val="00E44632"/>
    <w:rsid w:val="00E5252D"/>
    <w:rsid w:val="00E53B0F"/>
    <w:rsid w:val="00E60E8E"/>
    <w:rsid w:val="00E62C04"/>
    <w:rsid w:val="00E713B4"/>
    <w:rsid w:val="00E762F5"/>
    <w:rsid w:val="00E77981"/>
    <w:rsid w:val="00E83046"/>
    <w:rsid w:val="00E86D0C"/>
    <w:rsid w:val="00EA6D84"/>
    <w:rsid w:val="00EB5340"/>
    <w:rsid w:val="00EB7E92"/>
    <w:rsid w:val="00EC0382"/>
    <w:rsid w:val="00EC45C7"/>
    <w:rsid w:val="00EC61EC"/>
    <w:rsid w:val="00EC6457"/>
    <w:rsid w:val="00ED4994"/>
    <w:rsid w:val="00ED6ABB"/>
    <w:rsid w:val="00EE67EB"/>
    <w:rsid w:val="00EE7835"/>
    <w:rsid w:val="00EF2765"/>
    <w:rsid w:val="00EF2F2B"/>
    <w:rsid w:val="00EF39C8"/>
    <w:rsid w:val="00EF6BE6"/>
    <w:rsid w:val="00F00F2B"/>
    <w:rsid w:val="00F154E9"/>
    <w:rsid w:val="00F20717"/>
    <w:rsid w:val="00F26589"/>
    <w:rsid w:val="00F37FC0"/>
    <w:rsid w:val="00F63443"/>
    <w:rsid w:val="00F65364"/>
    <w:rsid w:val="00F7717C"/>
    <w:rsid w:val="00F86F94"/>
    <w:rsid w:val="00F9157F"/>
    <w:rsid w:val="00FA2E94"/>
    <w:rsid w:val="00FB550C"/>
    <w:rsid w:val="00FB5CEF"/>
    <w:rsid w:val="00FC25F4"/>
    <w:rsid w:val="00FD192E"/>
    <w:rsid w:val="00FD1B59"/>
    <w:rsid w:val="00FE5B5E"/>
    <w:rsid w:val="00FE5E56"/>
    <w:rsid w:val="00FF5778"/>
    <w:rsid w:val="015121CF"/>
    <w:rsid w:val="017E0025"/>
    <w:rsid w:val="018A4310"/>
    <w:rsid w:val="01D30D51"/>
    <w:rsid w:val="026E2AF7"/>
    <w:rsid w:val="028C3AAC"/>
    <w:rsid w:val="02FD2A99"/>
    <w:rsid w:val="03162918"/>
    <w:rsid w:val="03250779"/>
    <w:rsid w:val="032A2E76"/>
    <w:rsid w:val="032F53C7"/>
    <w:rsid w:val="03C97D13"/>
    <w:rsid w:val="03D80B70"/>
    <w:rsid w:val="046F708F"/>
    <w:rsid w:val="047A164B"/>
    <w:rsid w:val="047C479E"/>
    <w:rsid w:val="04BE4ABB"/>
    <w:rsid w:val="04DC0C65"/>
    <w:rsid w:val="056B1321"/>
    <w:rsid w:val="058F7ED5"/>
    <w:rsid w:val="05A625A8"/>
    <w:rsid w:val="05B61689"/>
    <w:rsid w:val="064A2CE4"/>
    <w:rsid w:val="06A72333"/>
    <w:rsid w:val="06F66A9B"/>
    <w:rsid w:val="079C369B"/>
    <w:rsid w:val="07AF1FB4"/>
    <w:rsid w:val="07D72EEC"/>
    <w:rsid w:val="080C3738"/>
    <w:rsid w:val="081F2DB2"/>
    <w:rsid w:val="086253B7"/>
    <w:rsid w:val="086504F8"/>
    <w:rsid w:val="091329AD"/>
    <w:rsid w:val="09135C29"/>
    <w:rsid w:val="0A1730E8"/>
    <w:rsid w:val="0A203C23"/>
    <w:rsid w:val="0AB32F3C"/>
    <w:rsid w:val="0AC56166"/>
    <w:rsid w:val="0AFC6D92"/>
    <w:rsid w:val="0B1F4CC9"/>
    <w:rsid w:val="0B4418D4"/>
    <w:rsid w:val="0BBB58C2"/>
    <w:rsid w:val="0C0F5353"/>
    <w:rsid w:val="0C32096A"/>
    <w:rsid w:val="0C476F17"/>
    <w:rsid w:val="0C7E360B"/>
    <w:rsid w:val="0C820673"/>
    <w:rsid w:val="0C9B1482"/>
    <w:rsid w:val="0D485FCF"/>
    <w:rsid w:val="0D5D409D"/>
    <w:rsid w:val="0D86358A"/>
    <w:rsid w:val="0E0B2DA3"/>
    <w:rsid w:val="0EEF0F83"/>
    <w:rsid w:val="0F014E92"/>
    <w:rsid w:val="0F1E3A54"/>
    <w:rsid w:val="0F3C791F"/>
    <w:rsid w:val="0F966E56"/>
    <w:rsid w:val="0FE443F8"/>
    <w:rsid w:val="10551A84"/>
    <w:rsid w:val="105E5829"/>
    <w:rsid w:val="107D4AA0"/>
    <w:rsid w:val="10B05A5F"/>
    <w:rsid w:val="10FD56B0"/>
    <w:rsid w:val="11035FCE"/>
    <w:rsid w:val="11286FF8"/>
    <w:rsid w:val="11A33589"/>
    <w:rsid w:val="11C40F77"/>
    <w:rsid w:val="11CC15E8"/>
    <w:rsid w:val="11CC5345"/>
    <w:rsid w:val="12374B2C"/>
    <w:rsid w:val="1238648A"/>
    <w:rsid w:val="12454614"/>
    <w:rsid w:val="124F493A"/>
    <w:rsid w:val="125A4762"/>
    <w:rsid w:val="12893951"/>
    <w:rsid w:val="12DE5A9C"/>
    <w:rsid w:val="13334A49"/>
    <w:rsid w:val="13611B4B"/>
    <w:rsid w:val="137B6A6E"/>
    <w:rsid w:val="138A39DE"/>
    <w:rsid w:val="13A80EEF"/>
    <w:rsid w:val="13C733D2"/>
    <w:rsid w:val="147D52F1"/>
    <w:rsid w:val="148F683D"/>
    <w:rsid w:val="14CF6BB1"/>
    <w:rsid w:val="15325208"/>
    <w:rsid w:val="155A79E0"/>
    <w:rsid w:val="15BD705A"/>
    <w:rsid w:val="15D10D8D"/>
    <w:rsid w:val="15E33C23"/>
    <w:rsid w:val="16CC4399"/>
    <w:rsid w:val="17091AEE"/>
    <w:rsid w:val="17461E90"/>
    <w:rsid w:val="177719DE"/>
    <w:rsid w:val="177C4762"/>
    <w:rsid w:val="177F0D6A"/>
    <w:rsid w:val="17FA25E5"/>
    <w:rsid w:val="1899778B"/>
    <w:rsid w:val="18D4649C"/>
    <w:rsid w:val="18D56FD4"/>
    <w:rsid w:val="193F0899"/>
    <w:rsid w:val="1A0260CE"/>
    <w:rsid w:val="1A652E65"/>
    <w:rsid w:val="1A7937AC"/>
    <w:rsid w:val="1A8F6DD6"/>
    <w:rsid w:val="1AC057F3"/>
    <w:rsid w:val="1B101758"/>
    <w:rsid w:val="1B9F31F9"/>
    <w:rsid w:val="1BD75F88"/>
    <w:rsid w:val="1BD91B12"/>
    <w:rsid w:val="1BEF2AA3"/>
    <w:rsid w:val="1C9571A6"/>
    <w:rsid w:val="1D2B387D"/>
    <w:rsid w:val="1D3A482F"/>
    <w:rsid w:val="1D5D0BCD"/>
    <w:rsid w:val="1DA42EB1"/>
    <w:rsid w:val="1DE06805"/>
    <w:rsid w:val="1DF36129"/>
    <w:rsid w:val="1DF93C7B"/>
    <w:rsid w:val="1E41352B"/>
    <w:rsid w:val="1EA53CFF"/>
    <w:rsid w:val="1F186F98"/>
    <w:rsid w:val="1FCB2AEC"/>
    <w:rsid w:val="1FDF6783"/>
    <w:rsid w:val="209C2D0F"/>
    <w:rsid w:val="20AE1D18"/>
    <w:rsid w:val="20B120D5"/>
    <w:rsid w:val="20C0486A"/>
    <w:rsid w:val="20CC5612"/>
    <w:rsid w:val="21156130"/>
    <w:rsid w:val="219B39E2"/>
    <w:rsid w:val="21C645C7"/>
    <w:rsid w:val="21D63524"/>
    <w:rsid w:val="221F22B3"/>
    <w:rsid w:val="2233022B"/>
    <w:rsid w:val="22421C49"/>
    <w:rsid w:val="22426CD1"/>
    <w:rsid w:val="229131B3"/>
    <w:rsid w:val="22E90E34"/>
    <w:rsid w:val="22FB3ADB"/>
    <w:rsid w:val="23035A4C"/>
    <w:rsid w:val="231D1DD1"/>
    <w:rsid w:val="233B51A7"/>
    <w:rsid w:val="235130BE"/>
    <w:rsid w:val="23EE25BB"/>
    <w:rsid w:val="23F938FE"/>
    <w:rsid w:val="25052E0F"/>
    <w:rsid w:val="25552E7D"/>
    <w:rsid w:val="25720D38"/>
    <w:rsid w:val="25CB2A80"/>
    <w:rsid w:val="25E05DF6"/>
    <w:rsid w:val="263225F6"/>
    <w:rsid w:val="264C3185"/>
    <w:rsid w:val="27E16F51"/>
    <w:rsid w:val="27FD740B"/>
    <w:rsid w:val="28102089"/>
    <w:rsid w:val="28632016"/>
    <w:rsid w:val="2873238A"/>
    <w:rsid w:val="28C732A1"/>
    <w:rsid w:val="28CA467C"/>
    <w:rsid w:val="28F516D7"/>
    <w:rsid w:val="29194CF5"/>
    <w:rsid w:val="295E6B72"/>
    <w:rsid w:val="29977838"/>
    <w:rsid w:val="29EE439A"/>
    <w:rsid w:val="2A1C3CD3"/>
    <w:rsid w:val="2AC8553F"/>
    <w:rsid w:val="2B914D75"/>
    <w:rsid w:val="2BE07BE3"/>
    <w:rsid w:val="2C2C2704"/>
    <w:rsid w:val="2C6E3570"/>
    <w:rsid w:val="2CAF5180"/>
    <w:rsid w:val="2CB30A73"/>
    <w:rsid w:val="2CBF2091"/>
    <w:rsid w:val="2D286742"/>
    <w:rsid w:val="2D542A2A"/>
    <w:rsid w:val="2D656A67"/>
    <w:rsid w:val="2E19748C"/>
    <w:rsid w:val="2E4209D9"/>
    <w:rsid w:val="2E616B37"/>
    <w:rsid w:val="2EFB29F1"/>
    <w:rsid w:val="2F1E291D"/>
    <w:rsid w:val="2F620C2E"/>
    <w:rsid w:val="2FD951A4"/>
    <w:rsid w:val="2FE75B13"/>
    <w:rsid w:val="30042440"/>
    <w:rsid w:val="30467FFD"/>
    <w:rsid w:val="3069004A"/>
    <w:rsid w:val="30696528"/>
    <w:rsid w:val="30716F06"/>
    <w:rsid w:val="30B13EB7"/>
    <w:rsid w:val="30E600AF"/>
    <w:rsid w:val="30F17F41"/>
    <w:rsid w:val="311938B0"/>
    <w:rsid w:val="315B210C"/>
    <w:rsid w:val="3164112A"/>
    <w:rsid w:val="317F1D7B"/>
    <w:rsid w:val="31CC76FF"/>
    <w:rsid w:val="31F172F6"/>
    <w:rsid w:val="32905CAB"/>
    <w:rsid w:val="32B51A27"/>
    <w:rsid w:val="32FA6504"/>
    <w:rsid w:val="330A11E9"/>
    <w:rsid w:val="335210D7"/>
    <w:rsid w:val="33D54BEA"/>
    <w:rsid w:val="34E12746"/>
    <w:rsid w:val="355A5092"/>
    <w:rsid w:val="356C1CB1"/>
    <w:rsid w:val="357E5017"/>
    <w:rsid w:val="358D3127"/>
    <w:rsid w:val="35A119F9"/>
    <w:rsid w:val="35E52E60"/>
    <w:rsid w:val="362339C7"/>
    <w:rsid w:val="363B2715"/>
    <w:rsid w:val="367F3DA1"/>
    <w:rsid w:val="36AC7731"/>
    <w:rsid w:val="36F1454D"/>
    <w:rsid w:val="37712166"/>
    <w:rsid w:val="37CF3484"/>
    <w:rsid w:val="37D710BC"/>
    <w:rsid w:val="37E17463"/>
    <w:rsid w:val="384637F8"/>
    <w:rsid w:val="38DC31DA"/>
    <w:rsid w:val="3A2B484E"/>
    <w:rsid w:val="3A636FDD"/>
    <w:rsid w:val="3A7537C9"/>
    <w:rsid w:val="3A9C74FA"/>
    <w:rsid w:val="3B126CF0"/>
    <w:rsid w:val="3B354EAA"/>
    <w:rsid w:val="3B927DA6"/>
    <w:rsid w:val="3BC12604"/>
    <w:rsid w:val="3C36245C"/>
    <w:rsid w:val="3C5820D4"/>
    <w:rsid w:val="3C5D298C"/>
    <w:rsid w:val="3C60338E"/>
    <w:rsid w:val="3C840FCA"/>
    <w:rsid w:val="3CA90ECD"/>
    <w:rsid w:val="3CAE4D3F"/>
    <w:rsid w:val="3D3943C1"/>
    <w:rsid w:val="3DAC214A"/>
    <w:rsid w:val="3DBA0CE8"/>
    <w:rsid w:val="3DC926AD"/>
    <w:rsid w:val="3E291783"/>
    <w:rsid w:val="3F253EC2"/>
    <w:rsid w:val="3FDE6FD5"/>
    <w:rsid w:val="4015650F"/>
    <w:rsid w:val="40676830"/>
    <w:rsid w:val="40F06215"/>
    <w:rsid w:val="411101D9"/>
    <w:rsid w:val="41120516"/>
    <w:rsid w:val="41391759"/>
    <w:rsid w:val="415E262D"/>
    <w:rsid w:val="41910EE4"/>
    <w:rsid w:val="41B80523"/>
    <w:rsid w:val="41BC551E"/>
    <w:rsid w:val="421279E6"/>
    <w:rsid w:val="423F3439"/>
    <w:rsid w:val="42611F54"/>
    <w:rsid w:val="427E62A6"/>
    <w:rsid w:val="42985C27"/>
    <w:rsid w:val="42C1143C"/>
    <w:rsid w:val="42D57D44"/>
    <w:rsid w:val="434D63C0"/>
    <w:rsid w:val="434D745C"/>
    <w:rsid w:val="43E95815"/>
    <w:rsid w:val="44364CD0"/>
    <w:rsid w:val="44472C6C"/>
    <w:rsid w:val="448E1FA2"/>
    <w:rsid w:val="452B2802"/>
    <w:rsid w:val="457F7ACC"/>
    <w:rsid w:val="46C2238E"/>
    <w:rsid w:val="46FB6035"/>
    <w:rsid w:val="47AF3639"/>
    <w:rsid w:val="47B26F7D"/>
    <w:rsid w:val="480F1E94"/>
    <w:rsid w:val="482F7F71"/>
    <w:rsid w:val="48AA70D7"/>
    <w:rsid w:val="48C0669E"/>
    <w:rsid w:val="48D611CF"/>
    <w:rsid w:val="48D85FE9"/>
    <w:rsid w:val="48DB6BC0"/>
    <w:rsid w:val="48E94455"/>
    <w:rsid w:val="49330904"/>
    <w:rsid w:val="49551A36"/>
    <w:rsid w:val="49B42FE5"/>
    <w:rsid w:val="49B63AD6"/>
    <w:rsid w:val="49D41D01"/>
    <w:rsid w:val="49DA5AB1"/>
    <w:rsid w:val="4B683C0F"/>
    <w:rsid w:val="4B815160"/>
    <w:rsid w:val="4BBB64D2"/>
    <w:rsid w:val="4BBC17AA"/>
    <w:rsid w:val="4C250F27"/>
    <w:rsid w:val="4C7235CD"/>
    <w:rsid w:val="4CFC11EA"/>
    <w:rsid w:val="4D0000F3"/>
    <w:rsid w:val="4D225F85"/>
    <w:rsid w:val="4D2E6FC3"/>
    <w:rsid w:val="4D3F1A54"/>
    <w:rsid w:val="4D491AF0"/>
    <w:rsid w:val="4D4A1B0C"/>
    <w:rsid w:val="4DAE1E85"/>
    <w:rsid w:val="4DC376D1"/>
    <w:rsid w:val="4E682070"/>
    <w:rsid w:val="4E914C57"/>
    <w:rsid w:val="4F413B09"/>
    <w:rsid w:val="4F792DCA"/>
    <w:rsid w:val="4F8F10A2"/>
    <w:rsid w:val="4F9D25EA"/>
    <w:rsid w:val="4FAA2E71"/>
    <w:rsid w:val="4FE70DC0"/>
    <w:rsid w:val="503B0D85"/>
    <w:rsid w:val="51195F62"/>
    <w:rsid w:val="51214A1C"/>
    <w:rsid w:val="51B6537D"/>
    <w:rsid w:val="51D60BAD"/>
    <w:rsid w:val="51E85918"/>
    <w:rsid w:val="526B785D"/>
    <w:rsid w:val="529A4E08"/>
    <w:rsid w:val="53054F9F"/>
    <w:rsid w:val="53351597"/>
    <w:rsid w:val="53633748"/>
    <w:rsid w:val="538E7F97"/>
    <w:rsid w:val="53F31105"/>
    <w:rsid w:val="54665390"/>
    <w:rsid w:val="54777B6E"/>
    <w:rsid w:val="54796820"/>
    <w:rsid w:val="5490517C"/>
    <w:rsid w:val="54DF553D"/>
    <w:rsid w:val="556B4EDD"/>
    <w:rsid w:val="55DD08C4"/>
    <w:rsid w:val="560343FB"/>
    <w:rsid w:val="56466840"/>
    <w:rsid w:val="565C5E10"/>
    <w:rsid w:val="56605C0D"/>
    <w:rsid w:val="566C55F5"/>
    <w:rsid w:val="568C5B7C"/>
    <w:rsid w:val="5719718C"/>
    <w:rsid w:val="576F4F06"/>
    <w:rsid w:val="58780095"/>
    <w:rsid w:val="58F451C8"/>
    <w:rsid w:val="599704D6"/>
    <w:rsid w:val="5B1220CD"/>
    <w:rsid w:val="5B2F1CB7"/>
    <w:rsid w:val="5BF92FB6"/>
    <w:rsid w:val="5C207A49"/>
    <w:rsid w:val="5C451348"/>
    <w:rsid w:val="5C6E4D42"/>
    <w:rsid w:val="5D191F67"/>
    <w:rsid w:val="5D40525F"/>
    <w:rsid w:val="5D433C9B"/>
    <w:rsid w:val="5DC934C7"/>
    <w:rsid w:val="5DE61BB4"/>
    <w:rsid w:val="5DE921E3"/>
    <w:rsid w:val="5E025F34"/>
    <w:rsid w:val="5E5B76CA"/>
    <w:rsid w:val="5E6957E0"/>
    <w:rsid w:val="5EAF49FF"/>
    <w:rsid w:val="5EB005A8"/>
    <w:rsid w:val="5ED457C4"/>
    <w:rsid w:val="5F36302E"/>
    <w:rsid w:val="5F5D4F94"/>
    <w:rsid w:val="600E2F0E"/>
    <w:rsid w:val="60A0128E"/>
    <w:rsid w:val="613D6F0C"/>
    <w:rsid w:val="61563EDB"/>
    <w:rsid w:val="61606110"/>
    <w:rsid w:val="616B2C59"/>
    <w:rsid w:val="618B5A4F"/>
    <w:rsid w:val="61C35ECC"/>
    <w:rsid w:val="6200624D"/>
    <w:rsid w:val="622412A8"/>
    <w:rsid w:val="624152A8"/>
    <w:rsid w:val="62717F29"/>
    <w:rsid w:val="62C959F4"/>
    <w:rsid w:val="6431737D"/>
    <w:rsid w:val="64491E06"/>
    <w:rsid w:val="65351D88"/>
    <w:rsid w:val="653D28FB"/>
    <w:rsid w:val="653F0AED"/>
    <w:rsid w:val="65483BE2"/>
    <w:rsid w:val="65BB2EF6"/>
    <w:rsid w:val="65D82B19"/>
    <w:rsid w:val="65E7565B"/>
    <w:rsid w:val="65F32E35"/>
    <w:rsid w:val="666E3111"/>
    <w:rsid w:val="66B90AD6"/>
    <w:rsid w:val="66F34A45"/>
    <w:rsid w:val="67096872"/>
    <w:rsid w:val="672166AA"/>
    <w:rsid w:val="673F51FA"/>
    <w:rsid w:val="681D4ECB"/>
    <w:rsid w:val="689F687A"/>
    <w:rsid w:val="68A270ED"/>
    <w:rsid w:val="68F64B7B"/>
    <w:rsid w:val="69993FC4"/>
    <w:rsid w:val="69C433F1"/>
    <w:rsid w:val="6A163EBE"/>
    <w:rsid w:val="6A656DD9"/>
    <w:rsid w:val="6B0928F1"/>
    <w:rsid w:val="6B763559"/>
    <w:rsid w:val="6BA52303"/>
    <w:rsid w:val="6C7F08A6"/>
    <w:rsid w:val="6CBA018C"/>
    <w:rsid w:val="6CD67BD4"/>
    <w:rsid w:val="6D302D7C"/>
    <w:rsid w:val="6D392803"/>
    <w:rsid w:val="6D9E2518"/>
    <w:rsid w:val="6DBA7B46"/>
    <w:rsid w:val="6E77495A"/>
    <w:rsid w:val="6EAF635F"/>
    <w:rsid w:val="6EC800BC"/>
    <w:rsid w:val="6FB73BE7"/>
    <w:rsid w:val="6FC74F89"/>
    <w:rsid w:val="6FC82399"/>
    <w:rsid w:val="6FE93FCD"/>
    <w:rsid w:val="70120CD3"/>
    <w:rsid w:val="705B2C76"/>
    <w:rsid w:val="70CB34AB"/>
    <w:rsid w:val="70F17567"/>
    <w:rsid w:val="710A4F1D"/>
    <w:rsid w:val="71685DAD"/>
    <w:rsid w:val="718E6436"/>
    <w:rsid w:val="725F012C"/>
    <w:rsid w:val="727A01CC"/>
    <w:rsid w:val="72FD5CB8"/>
    <w:rsid w:val="73452A90"/>
    <w:rsid w:val="73586019"/>
    <w:rsid w:val="736E6F41"/>
    <w:rsid w:val="73CC6079"/>
    <w:rsid w:val="73DF5EF1"/>
    <w:rsid w:val="74CF4AFC"/>
    <w:rsid w:val="751E4CA6"/>
    <w:rsid w:val="753A5E46"/>
    <w:rsid w:val="7550035E"/>
    <w:rsid w:val="758A45B5"/>
    <w:rsid w:val="759D5A90"/>
    <w:rsid w:val="75A1160C"/>
    <w:rsid w:val="75F0684F"/>
    <w:rsid w:val="75F56E68"/>
    <w:rsid w:val="768840AF"/>
    <w:rsid w:val="76A81B2B"/>
    <w:rsid w:val="76EA5E9C"/>
    <w:rsid w:val="771C3B7F"/>
    <w:rsid w:val="77570EBD"/>
    <w:rsid w:val="77F86EC8"/>
    <w:rsid w:val="781028F2"/>
    <w:rsid w:val="781E605F"/>
    <w:rsid w:val="788A1EBA"/>
    <w:rsid w:val="78C402EA"/>
    <w:rsid w:val="7924125A"/>
    <w:rsid w:val="79627EE8"/>
    <w:rsid w:val="797B7BE6"/>
    <w:rsid w:val="799E4500"/>
    <w:rsid w:val="79FB08F2"/>
    <w:rsid w:val="7A6D1745"/>
    <w:rsid w:val="7A8D0632"/>
    <w:rsid w:val="7A8E45BE"/>
    <w:rsid w:val="7BDD0B1E"/>
    <w:rsid w:val="7C366122"/>
    <w:rsid w:val="7C693CA2"/>
    <w:rsid w:val="7C7062B2"/>
    <w:rsid w:val="7D4E23DA"/>
    <w:rsid w:val="7E3452EF"/>
    <w:rsid w:val="7E6601F9"/>
    <w:rsid w:val="7EC42D4A"/>
    <w:rsid w:val="7EE97DD9"/>
    <w:rsid w:val="7EF02F3D"/>
    <w:rsid w:val="7F8B64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2">
    <w:name w:val="Normal Indent"/>
    <w:basedOn w:val="1"/>
    <w:autoRedefine/>
    <w:qFormat/>
    <w:uiPriority w:val="0"/>
    <w:pPr>
      <w:ind w:firstLine="420"/>
    </w:pPr>
    <w:rPr>
      <w:rFonts w:ascii="Calibri" w:hAnsi="Calibri" w:eastAsia="宋体" w:cs="Times New Roman"/>
    </w:rPr>
  </w:style>
  <w:style w:type="paragraph" w:styleId="3">
    <w:name w:val="Body Text"/>
    <w:basedOn w:val="1"/>
    <w:autoRedefine/>
    <w:qFormat/>
    <w:uiPriority w:val="0"/>
    <w:pPr>
      <w:spacing w:after="120"/>
    </w:pPr>
  </w:style>
  <w:style w:type="paragraph" w:styleId="4">
    <w:name w:val="footer"/>
    <w:basedOn w:val="1"/>
    <w:link w:val="13"/>
    <w:autoRedefine/>
    <w:unhideWhenUsed/>
    <w:qFormat/>
    <w:uiPriority w:val="99"/>
    <w:pPr>
      <w:tabs>
        <w:tab w:val="center" w:pos="4153"/>
        <w:tab w:val="right" w:pos="8306"/>
      </w:tabs>
      <w:snapToGrid w:val="0"/>
      <w:jc w:val="left"/>
    </w:pPr>
    <w:rPr>
      <w:sz w:val="18"/>
      <w:szCs w:val="18"/>
    </w:rPr>
  </w:style>
  <w:style w:type="paragraph" w:styleId="5">
    <w:name w:val="header"/>
    <w:basedOn w:val="1"/>
    <w:link w:val="12"/>
    <w:autoRedefine/>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Body Text First Indent"/>
    <w:basedOn w:val="3"/>
    <w:autoRedefine/>
    <w:unhideWhenUsed/>
    <w:qFormat/>
    <w:uiPriority w:val="99"/>
    <w:pPr>
      <w:ind w:firstLine="420" w:firstLineChars="100"/>
    </w:pPr>
    <w:rPr>
      <w:rFonts w:ascii="Times New Roman" w:hAnsi="Times New Roman"/>
      <w:kern w:val="0"/>
      <w:sz w:val="20"/>
      <w:szCs w:val="20"/>
    </w:rPr>
  </w:style>
  <w:style w:type="table" w:styleId="8">
    <w:name w:val="Table Grid"/>
    <w:basedOn w:val="7"/>
    <w:autoRedefine/>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customStyle="1" w:styleId="10">
    <w:name w:val="style4"/>
    <w:basedOn w:val="1"/>
    <w:next w:val="11"/>
    <w:autoRedefine/>
    <w:qFormat/>
    <w:uiPriority w:val="0"/>
    <w:pPr>
      <w:widowControl/>
      <w:spacing w:before="280" w:after="280"/>
    </w:pPr>
    <w:rPr>
      <w:rFonts w:ascii="宋体" w:hAnsi="Times New Roman" w:eastAsia="宋体" w:cs="Times New Roman"/>
      <w:sz w:val="18"/>
    </w:rPr>
  </w:style>
  <w:style w:type="paragraph" w:customStyle="1" w:styleId="11">
    <w:name w:val="2"/>
    <w:next w:val="1"/>
    <w:autoRedefine/>
    <w:qFormat/>
    <w:uiPriority w:val="0"/>
    <w:pPr>
      <w:widowControl w:val="0"/>
      <w:jc w:val="both"/>
    </w:pPr>
    <w:rPr>
      <w:rFonts w:ascii="Calibri" w:hAnsi="Calibri" w:eastAsia="宋体" w:cs="Times New Roman"/>
      <w:sz w:val="21"/>
      <w:szCs w:val="22"/>
      <w:lang w:val="en-US" w:eastAsia="zh-CN" w:bidi="ar-SA"/>
    </w:rPr>
  </w:style>
  <w:style w:type="character" w:customStyle="1" w:styleId="12">
    <w:name w:val="页眉 Char"/>
    <w:basedOn w:val="9"/>
    <w:link w:val="5"/>
    <w:autoRedefine/>
    <w:semiHidden/>
    <w:qFormat/>
    <w:uiPriority w:val="99"/>
    <w:rPr>
      <w:sz w:val="18"/>
      <w:szCs w:val="18"/>
    </w:rPr>
  </w:style>
  <w:style w:type="character" w:customStyle="1" w:styleId="13">
    <w:name w:val="页脚 Char"/>
    <w:basedOn w:val="9"/>
    <w:link w:val="4"/>
    <w:autoRedefine/>
    <w:qFormat/>
    <w:uiPriority w:val="99"/>
    <w:rPr>
      <w:sz w:val="18"/>
      <w:szCs w:val="18"/>
    </w:rPr>
  </w:style>
  <w:style w:type="paragraph" w:customStyle="1" w:styleId="14">
    <w:name w:val="正文1"/>
    <w:basedOn w:val="1"/>
    <w:autoRedefine/>
    <w:qFormat/>
    <w:uiPriority w:val="0"/>
    <w:pPr>
      <w:numPr>
        <w:ilvl w:val="0"/>
        <w:numId w:val="1"/>
      </w:numPr>
      <w:tabs>
        <w:tab w:val="left" w:pos="360"/>
      </w:tabs>
      <w:spacing w:line="360" w:lineRule="auto"/>
      <w:ind w:left="357" w:hanging="357"/>
    </w:pPr>
    <w:rPr>
      <w:rFonts w:ascii="宋体" w:hAnsi="宋体" w:eastAsia="宋体" w:cs="Times New Roman"/>
      <w:color w:val="FF0000"/>
      <w:szCs w:val="24"/>
    </w:rPr>
  </w:style>
  <w:style w:type="character" w:customStyle="1" w:styleId="15">
    <w:name w:val="NormalCharacter"/>
    <w:autoRedefine/>
    <w:qFormat/>
    <w:uiPriority w:val="0"/>
  </w:style>
  <w:style w:type="paragraph" w:customStyle="1" w:styleId="16">
    <w:name w:val="Table Paragraph"/>
    <w:basedOn w:val="1"/>
    <w:autoRedefine/>
    <w:qFormat/>
    <w:uiPriority w:val="1"/>
    <w:rPr>
      <w:rFonts w:ascii="Times New Roman" w:hAnsi="Times New Roman" w:eastAsia="宋体" w:cs="Times New Roman"/>
      <w:sz w:val="24"/>
      <w:szCs w:val="20"/>
    </w:rPr>
  </w:style>
  <w:style w:type="paragraph" w:customStyle="1" w:styleId="17">
    <w:name w:val="表格 - 正文"/>
    <w:basedOn w:val="1"/>
    <w:qFormat/>
    <w:uiPriority w:val="0"/>
    <w:pPr>
      <w:snapToGrid w:val="0"/>
      <w:spacing w:before="120" w:after="120" w:line="360" w:lineRule="auto"/>
    </w:pPr>
    <w:rPr>
      <w:rFonts w:ascii="Times New Roman" w:hAnsi="Times New Roman" w:eastAsia="宋体" w:cs="宋体"/>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23</Pages>
  <Words>1136</Words>
  <Characters>1168</Characters>
  <Lines>6</Lines>
  <Paragraphs>1</Paragraphs>
  <TotalTime>3</TotalTime>
  <ScaleCrop>false</ScaleCrop>
  <LinksUpToDate>false</LinksUpToDate>
  <CharactersWithSpaces>1371</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2020-03-12T00:43:00Z</dcterms:created>
  <dc:creator>AutoBVT</dc:creator>
  <cp:lastModifiedBy>罗昊</cp:lastModifiedBy>
  <dcterms:modified xsi:type="dcterms:W3CDTF">2024-08-22T06:40:32Z</dcterms:modified>
  <cp:revision>1082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236EE8110CB74B6D96A171B8B9CB89FA</vt:lpwstr>
  </property>
  <property fmtid="{D5CDD505-2E9C-101B-9397-08002B2CF9AE}" pid="4" name="commondata">
    <vt:lpwstr>eyJoZGlkIjoiNzljOTE0MDRlMmUyY2M3ZGQ4Nzk0OWRiOWI1OGE3ZmYifQ==</vt:lpwstr>
  </property>
</Properties>
</file>