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仿宋" w:hAnsi="仿宋" w:eastAsia="仿宋"/>
          <w:sz w:val="32"/>
          <w:szCs w:val="32"/>
        </w:rPr>
      </w:pPr>
      <w:r>
        <w:rPr>
          <w:rFonts w:hint="eastAsia" w:asciiTheme="majorEastAsia" w:hAnsiTheme="majorEastAsia" w:eastAsiaTheme="majorEastAsia"/>
          <w:b/>
          <w:sz w:val="32"/>
          <w:szCs w:val="32"/>
        </w:rPr>
        <w:t>附件：拟购</w:t>
      </w:r>
      <w:r>
        <w:rPr>
          <w:rFonts w:hint="eastAsia" w:asciiTheme="majorEastAsia" w:hAnsiTheme="majorEastAsia" w:eastAsiaTheme="majorEastAsia"/>
          <w:b/>
          <w:sz w:val="36"/>
          <w:szCs w:val="36"/>
          <w:lang w:val="en-US" w:eastAsia="zh-CN"/>
        </w:rPr>
        <w:t>裕安区医联体信息发布服务项目</w:t>
      </w:r>
      <w:r>
        <w:rPr>
          <w:rFonts w:hint="eastAsia" w:asciiTheme="majorEastAsia" w:hAnsiTheme="majorEastAsia" w:eastAsiaTheme="majorEastAsia"/>
          <w:b/>
          <w:sz w:val="32"/>
          <w:szCs w:val="32"/>
        </w:rPr>
        <w:t>初步参数论证征集意见表</w:t>
      </w:r>
    </w:p>
    <w:p>
      <w:pPr>
        <w:spacing w:line="320" w:lineRule="exact"/>
        <w:rPr>
          <w:rFonts w:ascii="仿宋" w:hAnsi="仿宋" w:eastAsia="仿宋"/>
          <w:sz w:val="24"/>
          <w:szCs w:val="24"/>
        </w:rPr>
      </w:pP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产品品牌、规格型号、产地、医疗器械注册证号及最低报价：</w:t>
      </w:r>
      <w:r>
        <w:rPr>
          <w:rFonts w:hint="eastAsia" w:ascii="仿宋" w:hAnsi="仿宋" w:eastAsia="仿宋"/>
          <w:szCs w:val="21"/>
          <w:u w:val="single"/>
        </w:rPr>
        <w:t xml:space="preserve">                                 </w:t>
      </w:r>
    </w:p>
    <w:p>
      <w:pPr>
        <w:keepNext w:val="0"/>
        <w:keepLines w:val="0"/>
        <w:pageBreakBefore w:val="0"/>
        <w:widowControl w:val="0"/>
        <w:kinsoku/>
        <w:wordWrap/>
        <w:overflowPunct/>
        <w:topLinePunct w:val="0"/>
        <w:autoSpaceDE/>
        <w:autoSpaceDN/>
        <w:bidi w:val="0"/>
        <w:adjustRightInd/>
        <w:snapToGrid/>
        <w:spacing w:line="300" w:lineRule="exact"/>
        <w:ind w:firstLine="422" w:firstLineChars="200"/>
        <w:textAlignment w:val="auto"/>
        <w:rPr>
          <w:rFonts w:hint="eastAsia" w:ascii="仿宋" w:hAnsi="仿宋" w:eastAsia="仿宋"/>
          <w:b/>
          <w:szCs w:val="21"/>
        </w:rPr>
      </w:pPr>
      <w:r>
        <w:rPr>
          <w:rFonts w:hint="eastAsia" w:ascii="仿宋" w:hAnsi="仿宋" w:eastAsia="仿宋"/>
          <w:b/>
          <w:szCs w:val="21"/>
        </w:rPr>
        <w:t>备注：</w:t>
      </w:r>
    </w:p>
    <w:p>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ascii="仿宋" w:hAnsi="仿宋" w:eastAsia="仿宋"/>
          <w:szCs w:val="21"/>
        </w:rPr>
      </w:pPr>
      <w:r>
        <w:rPr>
          <w:rFonts w:hint="eastAsia" w:ascii="仿宋" w:hAnsi="仿宋" w:eastAsia="仿宋"/>
          <w:szCs w:val="21"/>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zCs w:val="21"/>
          <w:u w:val="single"/>
        </w:rPr>
        <w:t>招标办</w:t>
      </w:r>
      <w:r>
        <w:rPr>
          <w:rFonts w:hint="eastAsia" w:ascii="仿宋" w:hAnsi="仿宋" w:eastAsia="仿宋"/>
          <w:szCs w:val="21"/>
        </w:rPr>
        <w:t>：2523245199@qq.com</w:t>
      </w:r>
      <w:r>
        <w:rPr>
          <w:rFonts w:hint="eastAsia" w:ascii="仿宋" w:hAnsi="仿宋" w:eastAsia="仿宋"/>
          <w:szCs w:val="21"/>
          <w:u w:val="single"/>
        </w:rPr>
        <w:t>和归口科室</w:t>
      </w:r>
      <w:r>
        <w:rPr>
          <w:rFonts w:hint="eastAsia" w:ascii="仿宋" w:hAnsi="仿宋" w:eastAsia="仿宋"/>
          <w:szCs w:val="21"/>
        </w:rPr>
        <w:t>【设备</w:t>
      </w:r>
      <w:r>
        <w:rPr>
          <w:rFonts w:hint="eastAsia" w:ascii="仿宋" w:hAnsi="仿宋" w:eastAsia="仿宋"/>
          <w:szCs w:val="21"/>
          <w:lang w:val="en-US" w:eastAsia="zh-CN"/>
        </w:rPr>
        <w:t>工程部</w:t>
      </w:r>
      <w:r>
        <w:rPr>
          <w:rFonts w:hint="eastAsia" w:ascii="仿宋" w:hAnsi="仿宋" w:eastAsia="仿宋"/>
          <w:szCs w:val="21"/>
        </w:rPr>
        <w:t>□、</w:t>
      </w:r>
      <w:r>
        <w:rPr>
          <w:rFonts w:hint="eastAsia" w:ascii="仿宋" w:hAnsi="仿宋" w:eastAsia="仿宋"/>
          <w:szCs w:val="21"/>
          <w:lang w:val="en-US" w:eastAsia="zh-CN"/>
        </w:rPr>
        <w:t>信息管理部</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szCs w:val="21"/>
          <w:lang w:val="en-US" w:eastAsia="zh-CN"/>
        </w:rPr>
        <w:t>后勤保障部</w:t>
      </w:r>
      <w:r>
        <w:rPr>
          <w:rFonts w:hint="eastAsia" w:ascii="仿宋" w:hAnsi="仿宋" w:eastAsia="仿宋"/>
          <w:szCs w:val="21"/>
        </w:rPr>
        <w:t>□及其他□</w:t>
      </w:r>
      <w:r>
        <w:rPr>
          <w:rFonts w:hint="eastAsia" w:ascii="仿宋" w:hAnsi="仿宋" w:eastAsia="仿宋"/>
          <w:szCs w:val="21"/>
          <w:u w:val="single"/>
        </w:rPr>
        <w:t xml:space="preserve">          </w:t>
      </w:r>
      <w:r>
        <w:rPr>
          <w:rFonts w:hint="eastAsia" w:ascii="仿宋" w:hAnsi="仿宋" w:eastAsia="仿宋"/>
          <w:szCs w:val="21"/>
        </w:rPr>
        <w:t>】：LASZYYXXK@163.com</w:t>
      </w:r>
      <w:r>
        <w:rPr>
          <w:rFonts w:hint="eastAsia" w:ascii="仿宋" w:hAnsi="仿宋" w:eastAsia="仿宋"/>
          <w:szCs w:val="21"/>
          <w:u w:val="single"/>
        </w:rPr>
        <w:t xml:space="preserve"> </w:t>
      </w:r>
      <w:r>
        <w:rPr>
          <w:rFonts w:hint="eastAsia" w:ascii="仿宋" w:hAnsi="仿宋" w:eastAsia="仿宋"/>
          <w:szCs w:val="21"/>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u w:val="single"/>
        </w:rPr>
      </w:pPr>
      <w:r>
        <w:rPr>
          <w:rFonts w:hint="eastAsia" w:ascii="仿宋" w:hAnsi="仿宋" w:eastAsia="仿宋"/>
          <w:szCs w:val="21"/>
          <w:lang w:val="en-US" w:eastAsia="zh-CN"/>
        </w:rPr>
        <w:t>2、</w:t>
      </w:r>
      <w:r>
        <w:rPr>
          <w:rFonts w:hint="eastAsia" w:ascii="仿宋" w:hAnsi="仿宋" w:eastAsia="仿宋"/>
          <w:szCs w:val="21"/>
        </w:rPr>
        <w:t>响应情况（是/否）若为否则</w:t>
      </w:r>
      <w:r>
        <w:rPr>
          <w:rFonts w:hint="eastAsia" w:ascii="仿宋" w:hAnsi="仿宋" w:eastAsia="仿宋"/>
          <w:szCs w:val="21"/>
          <w:lang w:eastAsia="zh-CN"/>
        </w:rPr>
        <w:t>须标注</w:t>
      </w:r>
      <w:r>
        <w:rPr>
          <w:rFonts w:hint="eastAsia" w:ascii="仿宋" w:hAnsi="仿宋" w:eastAsia="仿宋"/>
          <w:szCs w:val="21"/>
        </w:rPr>
        <w:t>具体建议修改</w:t>
      </w:r>
      <w:r>
        <w:rPr>
          <w:rFonts w:hint="eastAsia" w:ascii="仿宋" w:hAnsi="仿宋" w:eastAsia="仿宋"/>
          <w:szCs w:val="21"/>
          <w:lang w:eastAsia="zh-CN"/>
        </w:rPr>
        <w:t>指标（</w:t>
      </w:r>
      <w:r>
        <w:rPr>
          <w:rFonts w:hint="eastAsia" w:ascii="仿宋" w:hAnsi="仿宋" w:eastAsia="仿宋"/>
          <w:b/>
          <w:bCs/>
          <w:szCs w:val="21"/>
          <w:lang w:eastAsia="zh-CN"/>
        </w:rPr>
        <w:t>未标注则默认为响应初步参数</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b/>
          <w:bCs/>
          <w:szCs w:val="21"/>
        </w:rPr>
        <w:t>建议修改</w:t>
      </w:r>
      <w:r>
        <w:rPr>
          <w:rFonts w:hint="eastAsia" w:ascii="仿宋" w:hAnsi="仿宋" w:eastAsia="仿宋"/>
          <w:b/>
          <w:bCs/>
          <w:szCs w:val="21"/>
          <w:lang w:eastAsia="zh-CN"/>
        </w:rPr>
        <w:t>指标</w:t>
      </w:r>
      <w:r>
        <w:rPr>
          <w:rFonts w:hint="eastAsia" w:ascii="仿宋" w:hAnsi="仿宋" w:eastAsia="仿宋"/>
          <w:b/>
          <w:bCs/>
          <w:szCs w:val="21"/>
        </w:rPr>
        <w:t>须</w:t>
      </w:r>
      <w:r>
        <w:rPr>
          <w:rFonts w:hint="eastAsia" w:ascii="仿宋" w:hAnsi="仿宋" w:eastAsia="仿宋"/>
          <w:b/>
          <w:bCs/>
          <w:szCs w:val="21"/>
          <w:lang w:eastAsia="zh-CN"/>
        </w:rPr>
        <w:t>提供相应证明材料</w:t>
      </w:r>
      <w:r>
        <w:rPr>
          <w:rFonts w:hint="eastAsia" w:ascii="仿宋" w:hAnsi="仿宋" w:eastAsia="仿宋"/>
          <w:szCs w:val="21"/>
        </w:rPr>
        <w:t>（</w:t>
      </w:r>
      <w:r>
        <w:rPr>
          <w:rFonts w:hint="eastAsia" w:ascii="仿宋" w:hAnsi="仿宋" w:eastAsia="仿宋" w:cs="仿宋"/>
          <w:b w:val="0"/>
          <w:bCs/>
          <w:szCs w:val="21"/>
          <w:lang w:eastAsia="zh-CN"/>
        </w:rPr>
        <w:t>★项</w:t>
      </w:r>
      <w:r>
        <w:rPr>
          <w:rFonts w:hint="eastAsia" w:ascii="仿宋" w:hAnsi="仿宋" w:eastAsia="仿宋"/>
          <w:szCs w:val="21"/>
          <w:lang w:eastAsia="zh-CN"/>
        </w:rPr>
        <w:t>证明材料须为政府主管部门【或</w:t>
      </w:r>
      <w:r>
        <w:rPr>
          <w:rStyle w:val="15"/>
          <w:rFonts w:hint="eastAsia" w:ascii="仿宋" w:hAnsi="仿宋" w:eastAsia="仿宋" w:cs="仿宋"/>
          <w:b w:val="0"/>
          <w:bCs/>
          <w:color w:val="auto"/>
          <w:sz w:val="21"/>
          <w:szCs w:val="21"/>
          <w:lang w:eastAsia="zh-CN"/>
        </w:rPr>
        <w:t>具备</w:t>
      </w:r>
      <w:r>
        <w:rPr>
          <w:rStyle w:val="15"/>
          <w:rFonts w:hint="eastAsia" w:ascii="仿宋" w:hAnsi="仿宋" w:eastAsia="仿宋" w:cs="仿宋"/>
          <w:b w:val="0"/>
          <w:bCs/>
          <w:color w:val="auto"/>
          <w:sz w:val="21"/>
          <w:szCs w:val="21"/>
          <w:lang w:val="en-US" w:eastAsia="zh-CN"/>
        </w:rPr>
        <w:t>CMA&lt;或CNAS&gt;资质检测机构】出具的</w:t>
      </w:r>
      <w:r>
        <w:rPr>
          <w:rFonts w:hint="eastAsia" w:ascii="仿宋" w:hAnsi="仿宋" w:eastAsia="仿宋"/>
          <w:szCs w:val="21"/>
          <w:lang w:eastAsia="zh-CN"/>
        </w:rPr>
        <w:t>检测报告，非</w:t>
      </w:r>
      <w:r>
        <w:rPr>
          <w:rFonts w:hint="eastAsia" w:ascii="仿宋" w:hAnsi="仿宋" w:eastAsia="仿宋" w:cs="仿宋"/>
          <w:b w:val="0"/>
          <w:bCs/>
          <w:szCs w:val="21"/>
          <w:lang w:eastAsia="zh-CN"/>
        </w:rPr>
        <w:t>★项</w:t>
      </w:r>
      <w:r>
        <w:rPr>
          <w:rFonts w:hint="eastAsia" w:ascii="仿宋" w:hAnsi="仿宋" w:eastAsia="仿宋"/>
          <w:szCs w:val="21"/>
          <w:lang w:eastAsia="zh-CN"/>
        </w:rPr>
        <w:t>证明材料可为除彩页外的其他材料，</w:t>
      </w:r>
      <w:r>
        <w:rPr>
          <w:rFonts w:hint="eastAsia" w:ascii="仿宋" w:hAnsi="仿宋" w:eastAsia="仿宋"/>
          <w:b/>
          <w:bCs/>
          <w:szCs w:val="21"/>
          <w:lang w:eastAsia="zh-CN"/>
        </w:rPr>
        <w:t>无证明材料则可不予采纳</w:t>
      </w:r>
      <w:r>
        <w:rPr>
          <w:rFonts w:hint="eastAsia" w:ascii="仿宋" w:hAnsi="仿宋" w:eastAsia="仿宋"/>
          <w:szCs w:val="21"/>
          <w:lang w:eastAsia="zh-CN"/>
        </w:rPr>
        <w:t>；建议修改意见</w:t>
      </w:r>
      <w:r>
        <w:rPr>
          <w:rFonts w:hint="eastAsia" w:ascii="仿宋" w:hAnsi="仿宋" w:eastAsia="仿宋"/>
          <w:szCs w:val="21"/>
        </w:rPr>
        <w:t>原则上须满足业界主流品牌同档次水平产品</w:t>
      </w:r>
      <w:r>
        <w:rPr>
          <w:rFonts w:hint="eastAsia" w:ascii="仿宋" w:hAnsi="仿宋" w:eastAsia="仿宋"/>
          <w:szCs w:val="21"/>
          <w:lang w:eastAsia="zh-CN"/>
        </w:rPr>
        <w:t>且不得为独家</w:t>
      </w:r>
      <w:r>
        <w:rPr>
          <w:rFonts w:hint="eastAsia" w:ascii="仿宋" w:hAnsi="仿宋" w:eastAsia="仿宋"/>
          <w:szCs w:val="21"/>
        </w:rPr>
        <w:t>），</w:t>
      </w:r>
      <w:r>
        <w:rPr>
          <w:rFonts w:hint="eastAsia" w:ascii="仿宋" w:hAnsi="仿宋" w:eastAsia="仿宋"/>
          <w:b/>
          <w:szCs w:val="21"/>
          <w:u w:val="single"/>
        </w:rPr>
        <w:t>同时务必备注本品牌本规格型号产品相对应的真实指标并标注是否为独家（供医院汇总定稿版参数时选择）；</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val="0"/>
          <w:bCs/>
          <w:szCs w:val="21"/>
          <w:u w:val="none"/>
          <w:lang w:eastAsia="zh-CN"/>
        </w:rPr>
      </w:pPr>
      <w:r>
        <w:rPr>
          <w:rFonts w:hint="eastAsia" w:ascii="仿宋" w:hAnsi="仿宋" w:eastAsia="仿宋"/>
          <w:b w:val="0"/>
          <w:bCs/>
          <w:szCs w:val="21"/>
          <w:u w:val="none"/>
          <w:lang w:val="en-US" w:eastAsia="zh-CN"/>
        </w:rPr>
        <w:t>3、院方根据各</w:t>
      </w:r>
      <w:r>
        <w:rPr>
          <w:rFonts w:hint="eastAsia" w:ascii="仿宋" w:hAnsi="仿宋" w:eastAsia="仿宋"/>
          <w:b w:val="0"/>
          <w:bCs/>
          <w:szCs w:val="21"/>
          <w:u w:val="none"/>
          <w:lang w:eastAsia="zh-CN"/>
        </w:rPr>
        <w:t>潜在供应商提供的配套耗材和须定期更换零部件的报价清单</w:t>
      </w:r>
      <w:r>
        <w:rPr>
          <w:rFonts w:hint="eastAsia" w:ascii="仿宋" w:hAnsi="仿宋" w:eastAsia="仿宋"/>
          <w:b w:val="0"/>
          <w:bCs/>
          <w:szCs w:val="21"/>
          <w:u w:val="none"/>
          <w:lang w:val="en-US" w:eastAsia="zh-CN"/>
        </w:rPr>
        <w:t>(须同步提供近2年内至少3家二级及以上医院发票原件扫描件和入库清单【遮挡无效】)进行</w:t>
      </w:r>
      <w:r>
        <w:rPr>
          <w:rFonts w:hint="eastAsia" w:ascii="仿宋" w:hAnsi="仿宋" w:eastAsia="仿宋"/>
          <w:b w:val="0"/>
          <w:bCs/>
          <w:szCs w:val="21"/>
          <w:u w:val="none"/>
          <w:lang w:eastAsia="zh-CN"/>
        </w:rPr>
        <w:t>设置相关报价限价，若潜在供应商均未提供报价清单（含发票原件扫描件和入库清单）则视同本项目无耗材和须定期更换零部件。</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2" w:firstLineChars="200"/>
        <w:textAlignment w:val="auto"/>
        <w:rPr>
          <w:rFonts w:ascii="仿宋" w:hAnsi="仿宋" w:eastAsia="仿宋"/>
          <w:szCs w:val="21"/>
        </w:rPr>
      </w:pPr>
      <w:r>
        <w:rPr>
          <w:rFonts w:hint="eastAsia" w:ascii="仿宋" w:hAnsi="仿宋" w:eastAsia="仿宋"/>
          <w:b/>
          <w:bCs w:val="0"/>
          <w:szCs w:val="21"/>
          <w:u w:val="none"/>
          <w:lang w:val="en-US" w:eastAsia="zh-CN"/>
        </w:rPr>
        <w:t>4、</w:t>
      </w:r>
      <w:r>
        <w:rPr>
          <w:rFonts w:hint="eastAsia" w:ascii="仿宋" w:hAnsi="仿宋" w:eastAsia="仿宋"/>
          <w:b/>
          <w:bCs w:val="0"/>
          <w:szCs w:val="21"/>
          <w:u w:val="none"/>
          <w:lang w:eastAsia="zh-CN"/>
        </w:rPr>
        <w:t>杜绝两现象：</w:t>
      </w:r>
      <w:r>
        <w:rPr>
          <w:rFonts w:hint="eastAsia" w:ascii="仿宋" w:hAnsi="仿宋" w:eastAsia="仿宋"/>
          <w:b w:val="0"/>
          <w:bCs/>
          <w:szCs w:val="21"/>
          <w:u w:val="none"/>
          <w:lang w:eastAsia="zh-CN"/>
        </w:rPr>
        <w:t>一是整机保修</w:t>
      </w:r>
      <w:r>
        <w:rPr>
          <w:rFonts w:hint="eastAsia" w:ascii="仿宋" w:hAnsi="仿宋" w:eastAsia="仿宋"/>
          <w:b w:val="0"/>
          <w:bCs/>
          <w:szCs w:val="21"/>
          <w:u w:val="none"/>
          <w:lang w:val="en-US" w:eastAsia="zh-CN"/>
        </w:rPr>
        <w:t>3年，保修范围不包含须定期更换零部件，须定期更换零部件报价清单如下...；二是将须定期更换零部件变为耗材，恶意降低货物价格，提高耗材价（或直接提高耗材报价）。</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b/>
          <w:bCs w:val="0"/>
          <w:szCs w:val="21"/>
          <w:lang w:eastAsia="zh-CN"/>
        </w:rPr>
      </w:pPr>
      <w:r>
        <w:rPr>
          <w:rFonts w:hint="eastAsia" w:ascii="仿宋" w:hAnsi="仿宋" w:eastAsia="仿宋"/>
          <w:b/>
          <w:bCs w:val="0"/>
          <w:szCs w:val="21"/>
        </w:rPr>
        <w:t>附件：配套耗材、试剂【单人次费用】及须定期更换零部件报价清单（样表【若无则标注“无”且不可删除】、可单列</w:t>
      </w:r>
      <w:r>
        <w:rPr>
          <w:rFonts w:hint="eastAsia" w:ascii="仿宋" w:hAnsi="仿宋" w:eastAsia="仿宋"/>
          <w:b/>
          <w:bCs w:val="0"/>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rPr>
      </w:pPr>
      <w:r>
        <w:rPr>
          <w:rFonts w:hint="eastAsia" w:ascii="仿宋" w:hAnsi="仿宋" w:eastAsia="仿宋" w:cs="仿宋"/>
          <w:b w:val="0"/>
          <w:bCs/>
          <w:szCs w:val="21"/>
          <w:lang w:val="en-US" w:eastAsia="zh-CN"/>
        </w:rPr>
        <w:t>5、</w:t>
      </w:r>
      <w:r>
        <w:rPr>
          <w:rFonts w:hint="eastAsia" w:ascii="仿宋" w:hAnsi="仿宋" w:eastAsia="仿宋" w:cs="仿宋"/>
          <w:b w:val="0"/>
          <w:bCs/>
          <w:color w:val="FF0000"/>
          <w:szCs w:val="21"/>
          <w:lang w:val="en-US" w:eastAsia="zh-CN"/>
        </w:rPr>
        <w:t>拟设置为</w:t>
      </w:r>
      <w:r>
        <w:rPr>
          <w:rFonts w:hint="eastAsia" w:ascii="仿宋" w:hAnsi="仿宋" w:eastAsia="仿宋" w:cs="仿宋"/>
          <w:b w:val="0"/>
          <w:bCs/>
          <w:color w:val="auto"/>
          <w:szCs w:val="21"/>
          <w:lang w:eastAsia="zh-CN"/>
        </w:rPr>
        <w:t>★项参数</w:t>
      </w:r>
      <w:r>
        <w:rPr>
          <w:rFonts w:hint="eastAsia" w:ascii="仿宋" w:hAnsi="仿宋" w:eastAsia="仿宋" w:cs="仿宋"/>
          <w:b w:val="0"/>
          <w:bCs/>
          <w:color w:val="FF0000"/>
          <w:szCs w:val="21"/>
          <w:lang w:val="en-US" w:eastAsia="zh-CN"/>
        </w:rPr>
        <w:t>(</w:t>
      </w:r>
      <w:r>
        <w:rPr>
          <w:rFonts w:hint="eastAsia" w:ascii="仿宋" w:hAnsi="仿宋" w:eastAsia="仿宋" w:cs="仿宋"/>
          <w:b w:val="0"/>
          <w:bCs/>
          <w:color w:val="FF0000"/>
          <w:szCs w:val="21"/>
          <w:lang w:eastAsia="zh-CN"/>
        </w:rPr>
        <w:t>★项标准：</w:t>
      </w:r>
      <w:r>
        <w:rPr>
          <w:rFonts w:hint="eastAsia" w:ascii="仿宋" w:hAnsi="仿宋" w:eastAsia="仿宋" w:cs="仿宋"/>
          <w:b w:val="0"/>
          <w:bCs/>
          <w:color w:val="FF0000"/>
          <w:szCs w:val="21"/>
          <w:lang w:val="en-US" w:eastAsia="zh-CN"/>
        </w:rPr>
        <w:t>拟购设备核心参数指标</w:t>
      </w:r>
      <w:r>
        <w:rPr>
          <w:rFonts w:hint="eastAsia" w:ascii="仿宋" w:hAnsi="仿宋" w:eastAsia="仿宋" w:cs="仿宋"/>
          <w:b/>
          <w:bCs w:val="0"/>
          <w:color w:val="auto"/>
          <w:szCs w:val="21"/>
          <w:lang w:val="en-US" w:eastAsia="zh-CN"/>
        </w:rPr>
        <w:t>【如有不妥，请提出并提供权威部门证明文件，否则不予采纳】)</w:t>
      </w:r>
      <w:r>
        <w:rPr>
          <w:rFonts w:hint="eastAsia" w:ascii="仿宋" w:hAnsi="仿宋" w:eastAsia="仿宋" w:cs="仿宋"/>
          <w:b w:val="0"/>
          <w:bCs/>
          <w:szCs w:val="21"/>
          <w:lang w:eastAsia="zh-CN"/>
        </w:rPr>
        <w:t>要求投标人在投标文件中所提供的证明材料须为</w:t>
      </w:r>
      <w:r>
        <w:rPr>
          <w:rFonts w:hint="eastAsia" w:ascii="仿宋" w:hAnsi="仿宋" w:eastAsia="仿宋" w:cs="仿宋"/>
          <w:b w:val="0"/>
          <w:bCs/>
          <w:color w:val="auto"/>
          <w:sz w:val="21"/>
          <w:szCs w:val="21"/>
        </w:rPr>
        <w:t>政府主管部门</w:t>
      </w:r>
      <w:r>
        <w:rPr>
          <w:rFonts w:hint="eastAsia" w:ascii="仿宋" w:hAnsi="仿宋" w:eastAsia="仿宋" w:cs="仿宋"/>
          <w:b/>
          <w:bCs w:val="0"/>
          <w:color w:val="auto"/>
          <w:sz w:val="21"/>
          <w:szCs w:val="21"/>
          <w:lang w:eastAsia="zh-CN"/>
        </w:rPr>
        <w:t>（</w:t>
      </w:r>
      <w:r>
        <w:rPr>
          <w:rStyle w:val="15"/>
          <w:rFonts w:hint="eastAsia" w:ascii="仿宋" w:hAnsi="仿宋" w:eastAsia="仿宋" w:cs="仿宋"/>
          <w:b/>
          <w:bCs w:val="0"/>
          <w:color w:val="auto"/>
          <w:sz w:val="21"/>
          <w:szCs w:val="21"/>
          <w:lang w:eastAsia="zh-CN"/>
        </w:rPr>
        <w:t>或具备</w:t>
      </w:r>
      <w:r>
        <w:rPr>
          <w:rStyle w:val="15"/>
          <w:rFonts w:hint="eastAsia" w:ascii="仿宋" w:hAnsi="仿宋" w:eastAsia="仿宋" w:cs="仿宋"/>
          <w:b/>
          <w:bCs w:val="0"/>
          <w:color w:val="auto"/>
          <w:sz w:val="21"/>
          <w:szCs w:val="21"/>
          <w:lang w:val="en-US" w:eastAsia="zh-CN"/>
        </w:rPr>
        <w:t>CMA【或CNAS】资质检测机构）</w:t>
      </w:r>
      <w:r>
        <w:rPr>
          <w:rStyle w:val="15"/>
          <w:rFonts w:hint="eastAsia" w:ascii="仿宋" w:hAnsi="仿宋" w:eastAsia="仿宋" w:cs="仿宋"/>
          <w:b w:val="0"/>
          <w:bCs/>
          <w:color w:val="auto"/>
          <w:sz w:val="21"/>
          <w:szCs w:val="21"/>
          <w:lang w:val="en-US" w:eastAsia="zh-CN"/>
        </w:rPr>
        <w:t>出具的</w:t>
      </w:r>
      <w:r>
        <w:rPr>
          <w:rStyle w:val="15"/>
          <w:rFonts w:hint="eastAsia" w:ascii="仿宋" w:hAnsi="仿宋" w:eastAsia="仿宋" w:cs="仿宋"/>
          <w:b w:val="0"/>
          <w:bCs/>
          <w:color w:val="auto"/>
          <w:sz w:val="21"/>
          <w:szCs w:val="21"/>
        </w:rPr>
        <w:t>质检报告原件扫描件</w:t>
      </w:r>
      <w:r>
        <w:rPr>
          <w:rStyle w:val="15"/>
          <w:rFonts w:hint="eastAsia" w:ascii="仿宋" w:hAnsi="仿宋" w:eastAsia="仿宋" w:cs="仿宋"/>
          <w:b w:val="0"/>
          <w:bCs/>
          <w:color w:val="auto"/>
          <w:sz w:val="21"/>
          <w:szCs w:val="21"/>
          <w:lang w:eastAsia="zh-CN"/>
        </w:rPr>
        <w:t>（政府主管部门</w:t>
      </w:r>
      <w:r>
        <w:rPr>
          <w:rFonts w:hint="eastAsia" w:ascii="仿宋" w:hAnsi="仿宋" w:eastAsia="仿宋" w:cs="仿宋"/>
          <w:b w:val="0"/>
          <w:bCs/>
          <w:color w:val="auto"/>
          <w:sz w:val="21"/>
          <w:szCs w:val="21"/>
        </w:rPr>
        <w:t>如</w:t>
      </w:r>
      <w:r>
        <w:rPr>
          <w:rFonts w:hint="eastAsia" w:ascii="仿宋" w:hAnsi="仿宋" w:eastAsia="仿宋" w:cs="仿宋"/>
          <w:b w:val="0"/>
          <w:bCs/>
          <w:color w:val="auto"/>
          <w:sz w:val="21"/>
          <w:szCs w:val="21"/>
          <w:lang w:eastAsia="zh-CN"/>
        </w:rPr>
        <w:t>国家</w:t>
      </w:r>
      <w:r>
        <w:rPr>
          <w:rStyle w:val="15"/>
          <w:rFonts w:hint="eastAsia" w:ascii="仿宋" w:hAnsi="仿宋" w:eastAsia="仿宋" w:cs="仿宋"/>
          <w:b w:val="0"/>
          <w:bCs/>
          <w:color w:val="auto"/>
          <w:sz w:val="21"/>
          <w:szCs w:val="21"/>
        </w:rPr>
        <w:t>食药监局</w:t>
      </w:r>
      <w:r>
        <w:rPr>
          <w:rStyle w:val="15"/>
          <w:rFonts w:hint="eastAsia" w:ascii="仿宋" w:hAnsi="仿宋" w:eastAsia="仿宋" w:cs="仿宋"/>
          <w:b w:val="0"/>
          <w:bCs/>
          <w:color w:val="auto"/>
          <w:sz w:val="21"/>
          <w:szCs w:val="21"/>
          <w:lang w:eastAsia="zh-CN"/>
        </w:rPr>
        <w:t>或</w:t>
      </w:r>
      <w:r>
        <w:rPr>
          <w:rStyle w:val="15"/>
          <w:rFonts w:hint="eastAsia" w:ascii="仿宋" w:hAnsi="仿宋" w:eastAsia="仿宋" w:cs="仿宋"/>
          <w:b w:val="0"/>
          <w:bCs/>
          <w:color w:val="auto"/>
          <w:sz w:val="21"/>
          <w:szCs w:val="21"/>
        </w:rPr>
        <w:t>其下属单位</w:t>
      </w:r>
      <w:r>
        <w:rPr>
          <w:rStyle w:val="15"/>
          <w:rFonts w:hint="eastAsia" w:ascii="仿宋" w:hAnsi="仿宋" w:eastAsia="仿宋" w:cs="仿宋"/>
          <w:b w:val="0"/>
          <w:bCs/>
          <w:color w:val="auto"/>
          <w:sz w:val="21"/>
          <w:szCs w:val="21"/>
          <w:lang w:eastAsia="zh-CN"/>
        </w:rPr>
        <w:t>或省级医疗器械检验机构或省级食品药品检验机构等）。</w:t>
      </w:r>
    </w:p>
    <w:p>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val="0"/>
          <w:bCs/>
          <w:szCs w:val="21"/>
          <w:lang w:val="en-US" w:eastAsia="zh-CN"/>
        </w:rPr>
      </w:pPr>
      <w:r>
        <w:rPr>
          <w:rFonts w:hint="eastAsia" w:ascii="仿宋" w:hAnsi="仿宋" w:eastAsia="仿宋"/>
          <w:b w:val="0"/>
          <w:bCs/>
          <w:szCs w:val="21"/>
          <w:lang w:eastAsia="zh-CN"/>
        </w:rPr>
        <w:t>附件：表</w:t>
      </w:r>
      <w:r>
        <w:rPr>
          <w:rFonts w:hint="eastAsia" w:ascii="仿宋" w:hAnsi="仿宋" w:eastAsia="仿宋"/>
          <w:b w:val="0"/>
          <w:bCs/>
          <w:szCs w:val="21"/>
          <w:lang w:val="en-US" w:eastAsia="zh-CN"/>
        </w:rPr>
        <w:t>1-4</w:t>
      </w:r>
    </w:p>
    <w:p>
      <w:pPr>
        <w:spacing w:line="320" w:lineRule="exact"/>
        <w:rPr>
          <w:rFonts w:ascii="仿宋" w:hAnsi="仿宋" w:eastAsia="仿宋"/>
          <w:b/>
          <w:szCs w:val="21"/>
        </w:rPr>
      </w:pPr>
      <w:r>
        <w:rPr>
          <w:rFonts w:hint="eastAsia" w:ascii="仿宋" w:hAnsi="仿宋" w:eastAsia="仿宋"/>
          <w:b/>
          <w:szCs w:val="21"/>
          <w:lang w:val="en-US" w:eastAsia="zh-CN"/>
        </w:rPr>
        <w:t>附件</w:t>
      </w:r>
      <w:r>
        <w:rPr>
          <w:rFonts w:hint="eastAsia" w:ascii="仿宋" w:hAnsi="仿宋" w:eastAsia="仿宋"/>
          <w:b/>
          <w:szCs w:val="21"/>
        </w:rPr>
        <w:t>：拟购项目初步参数结构</w:t>
      </w:r>
    </w:p>
    <w:tbl>
      <w:tblPr>
        <w:tblStyle w:val="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68"/>
        <w:gridCol w:w="1073"/>
        <w:gridCol w:w="4523"/>
        <w:gridCol w:w="541"/>
        <w:gridCol w:w="769"/>
        <w:gridCol w:w="426"/>
        <w:gridCol w:w="9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8" w:hRule="atLeast"/>
        </w:trPr>
        <w:tc>
          <w:tcPr>
            <w:tcW w:w="6705" w:type="dxa"/>
            <w:gridSpan w:val="4"/>
            <w:noWrap w:val="0"/>
            <w:vAlign w:val="top"/>
          </w:tcPr>
          <w:p>
            <w:pPr>
              <w:spacing w:line="320" w:lineRule="exact"/>
              <w:jc w:val="center"/>
              <w:rPr>
                <w:rFonts w:ascii="仿宋" w:hAnsi="仿宋" w:eastAsia="仿宋"/>
                <w:bCs/>
                <w:szCs w:val="21"/>
              </w:rPr>
            </w:pPr>
            <w:r>
              <w:rPr>
                <w:rFonts w:hint="eastAsia" w:ascii="仿宋" w:hAnsi="仿宋" w:eastAsia="仿宋"/>
                <w:bCs/>
                <w:szCs w:val="21"/>
              </w:rPr>
              <w:t>本项目初步参数拟设置情况</w:t>
            </w:r>
          </w:p>
        </w:tc>
        <w:tc>
          <w:tcPr>
            <w:tcW w:w="769" w:type="dxa"/>
            <w:vMerge w:val="restart"/>
            <w:noWrap w:val="0"/>
            <w:vAlign w:val="center"/>
          </w:tcPr>
          <w:p>
            <w:pPr>
              <w:spacing w:line="320" w:lineRule="exact"/>
              <w:jc w:val="center"/>
              <w:rPr>
                <w:rFonts w:ascii="仿宋" w:hAnsi="仿宋"/>
                <w:bCs/>
                <w:szCs w:val="21"/>
              </w:rPr>
            </w:pPr>
            <w:r>
              <w:rPr>
                <w:rFonts w:hint="eastAsia" w:ascii="仿宋" w:hAnsi="仿宋" w:eastAsia="仿宋"/>
                <w:bCs/>
                <w:szCs w:val="21"/>
              </w:rPr>
              <w:t>响应情况</w:t>
            </w:r>
          </w:p>
        </w:tc>
        <w:tc>
          <w:tcPr>
            <w:tcW w:w="426" w:type="dxa"/>
            <w:vMerge w:val="restart"/>
            <w:noWrap w:val="0"/>
            <w:vAlign w:val="center"/>
          </w:tcPr>
          <w:p>
            <w:pPr>
              <w:spacing w:line="320" w:lineRule="exact"/>
              <w:jc w:val="center"/>
              <w:rPr>
                <w:rFonts w:ascii="仿宋" w:hAnsi="仿宋" w:eastAsia="仿宋"/>
                <w:bCs/>
                <w:szCs w:val="21"/>
              </w:rPr>
            </w:pPr>
            <w:r>
              <w:rPr>
                <w:rFonts w:hint="eastAsia" w:ascii="仿宋" w:hAnsi="仿宋" w:eastAsia="仿宋"/>
                <w:bCs/>
                <w:szCs w:val="21"/>
              </w:rPr>
              <w:t>建议修改指标</w:t>
            </w:r>
          </w:p>
        </w:tc>
        <w:tc>
          <w:tcPr>
            <w:tcW w:w="956" w:type="dxa"/>
            <w:vMerge w:val="restart"/>
            <w:noWrap w:val="0"/>
            <w:vAlign w:val="top"/>
          </w:tcPr>
          <w:p>
            <w:pPr>
              <w:spacing w:line="320" w:lineRule="exact"/>
              <w:jc w:val="center"/>
              <w:rPr>
                <w:rFonts w:ascii="仿宋" w:hAnsi="仿宋" w:eastAsia="仿宋"/>
                <w:bCs/>
                <w:szCs w:val="21"/>
              </w:rPr>
            </w:pPr>
            <w:r>
              <w:rPr>
                <w:rFonts w:hint="eastAsia" w:ascii="仿宋" w:hAnsi="仿宋" w:eastAsia="仿宋"/>
                <w:bCs/>
                <w:szCs w:val="21"/>
              </w:rPr>
              <w:t>备注（真实指标、是否独家、是否提供有效检测报告）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28" w:hRule="atLeast"/>
        </w:trPr>
        <w:tc>
          <w:tcPr>
            <w:tcW w:w="568" w:type="dxa"/>
            <w:noWrap w:val="0"/>
            <w:vAlign w:val="center"/>
          </w:tcPr>
          <w:p>
            <w:pPr>
              <w:spacing w:line="320" w:lineRule="exact"/>
              <w:jc w:val="center"/>
              <w:rPr>
                <w:rFonts w:hint="default" w:ascii="仿宋" w:hAnsi="仿宋" w:eastAsia="仿宋"/>
                <w:bCs/>
                <w:szCs w:val="21"/>
                <w:lang w:val="en-US" w:eastAsia="zh-CN"/>
              </w:rPr>
            </w:pPr>
            <w:r>
              <w:rPr>
                <w:rFonts w:hint="eastAsia" w:ascii="仿宋" w:hAnsi="仿宋" w:eastAsia="仿宋"/>
                <w:bCs/>
                <w:szCs w:val="21"/>
                <w:lang w:val="en-US" w:eastAsia="zh-CN"/>
              </w:rPr>
              <w:t>序号</w:t>
            </w:r>
          </w:p>
        </w:tc>
        <w:tc>
          <w:tcPr>
            <w:tcW w:w="1073" w:type="dxa"/>
            <w:noWrap w:val="0"/>
            <w:vAlign w:val="center"/>
          </w:tcPr>
          <w:p>
            <w:pPr>
              <w:spacing w:line="320" w:lineRule="exact"/>
              <w:jc w:val="center"/>
              <w:rPr>
                <w:rFonts w:ascii="仿宋" w:hAnsi="仿宋" w:eastAsia="仿宋"/>
                <w:bCs/>
                <w:szCs w:val="21"/>
              </w:rPr>
            </w:pPr>
            <w:r>
              <w:rPr>
                <w:rFonts w:hint="eastAsia" w:ascii="仿宋" w:hAnsi="仿宋" w:eastAsia="仿宋"/>
                <w:bCs/>
                <w:szCs w:val="21"/>
              </w:rPr>
              <w:t>参数名称</w:t>
            </w:r>
          </w:p>
        </w:tc>
        <w:tc>
          <w:tcPr>
            <w:tcW w:w="4523" w:type="dxa"/>
            <w:noWrap w:val="0"/>
            <w:vAlign w:val="center"/>
          </w:tcPr>
          <w:p>
            <w:pPr>
              <w:spacing w:line="320" w:lineRule="exact"/>
              <w:jc w:val="center"/>
              <w:rPr>
                <w:rFonts w:ascii="仿宋" w:hAnsi="仿宋" w:eastAsia="仿宋"/>
                <w:bCs/>
                <w:szCs w:val="21"/>
              </w:rPr>
            </w:pPr>
            <w:r>
              <w:rPr>
                <w:rFonts w:hint="eastAsia" w:ascii="仿宋" w:hAnsi="仿宋" w:eastAsia="仿宋"/>
                <w:bCs/>
                <w:szCs w:val="21"/>
              </w:rPr>
              <w:t>初步参数设置情况</w:t>
            </w:r>
          </w:p>
        </w:tc>
        <w:tc>
          <w:tcPr>
            <w:tcW w:w="541" w:type="dxa"/>
            <w:noWrap w:val="0"/>
            <w:vAlign w:val="top"/>
          </w:tcPr>
          <w:p>
            <w:pPr>
              <w:spacing w:line="320" w:lineRule="exact"/>
              <w:jc w:val="center"/>
              <w:rPr>
                <w:rFonts w:ascii="仿宋" w:hAnsi="仿宋" w:eastAsia="仿宋"/>
                <w:bCs/>
                <w:szCs w:val="21"/>
              </w:rPr>
            </w:pPr>
            <w:r>
              <w:rPr>
                <w:rFonts w:hint="eastAsia" w:ascii="仿宋" w:hAnsi="仿宋" w:eastAsia="仿宋"/>
                <w:bCs/>
                <w:szCs w:val="21"/>
              </w:rPr>
              <w:t>是否设置为为★</w:t>
            </w:r>
          </w:p>
        </w:tc>
        <w:tc>
          <w:tcPr>
            <w:tcW w:w="769" w:type="dxa"/>
            <w:vMerge w:val="continue"/>
            <w:noWrap w:val="0"/>
            <w:vAlign w:val="top"/>
          </w:tcPr>
          <w:p>
            <w:pPr>
              <w:spacing w:line="320" w:lineRule="exact"/>
              <w:rPr>
                <w:rFonts w:ascii="仿宋" w:hAnsi="仿宋" w:eastAsia="仿宋"/>
                <w:bCs/>
                <w:szCs w:val="21"/>
              </w:rPr>
            </w:pPr>
          </w:p>
        </w:tc>
        <w:tc>
          <w:tcPr>
            <w:tcW w:w="426" w:type="dxa"/>
            <w:vMerge w:val="continue"/>
            <w:noWrap w:val="0"/>
            <w:vAlign w:val="top"/>
          </w:tcPr>
          <w:p>
            <w:pPr>
              <w:spacing w:line="320" w:lineRule="exact"/>
              <w:rPr>
                <w:rFonts w:ascii="仿宋" w:hAnsi="仿宋" w:eastAsia="仿宋"/>
                <w:bCs/>
                <w:szCs w:val="21"/>
              </w:rPr>
            </w:pPr>
          </w:p>
        </w:tc>
        <w:tc>
          <w:tcPr>
            <w:tcW w:w="956" w:type="dxa"/>
            <w:vMerge w:val="continue"/>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568" w:type="dxa"/>
            <w:noWrap w:val="0"/>
            <w:vAlign w:val="center"/>
          </w:tcPr>
          <w:p>
            <w:pPr>
              <w:spacing w:line="320" w:lineRule="exact"/>
              <w:jc w:val="center"/>
              <w:rPr>
                <w:rFonts w:hint="eastAsia" w:ascii="仿宋" w:hAnsi="仿宋" w:eastAsia="仿宋"/>
                <w:bCs/>
                <w:szCs w:val="21"/>
                <w:lang w:val="en-US" w:eastAsia="zh-CN"/>
              </w:rPr>
            </w:pPr>
            <w:r>
              <w:rPr>
                <w:rFonts w:hint="eastAsia" w:ascii="仿宋" w:hAnsi="仿宋" w:eastAsia="仿宋"/>
                <w:bCs/>
                <w:szCs w:val="21"/>
                <w:lang w:val="en-US" w:eastAsia="zh-CN"/>
              </w:rPr>
              <w:t>1</w:t>
            </w:r>
          </w:p>
        </w:tc>
        <w:tc>
          <w:tcPr>
            <w:tcW w:w="1073" w:type="dxa"/>
            <w:noWrap w:val="0"/>
            <w:vAlign w:val="center"/>
          </w:tcPr>
          <w:p>
            <w:pPr>
              <w:spacing w:line="320" w:lineRule="exact"/>
              <w:jc w:val="center"/>
              <w:rPr>
                <w:rFonts w:hint="eastAsia" w:ascii="仿宋" w:hAnsi="仿宋" w:eastAsia="仿宋"/>
                <w:bCs/>
                <w:szCs w:val="21"/>
              </w:rPr>
            </w:pPr>
            <w:r>
              <w:rPr>
                <w:rFonts w:hint="eastAsia" w:ascii="仿宋" w:hAnsi="仿宋" w:eastAsia="仿宋"/>
                <w:bCs/>
                <w:szCs w:val="21"/>
                <w:lang w:val="en-US" w:eastAsia="zh-CN"/>
              </w:rPr>
              <w:t>信息发布管理系统</w:t>
            </w:r>
          </w:p>
        </w:tc>
        <w:tc>
          <w:tcPr>
            <w:tcW w:w="4523" w:type="dxa"/>
            <w:noWrap w:val="0"/>
            <w:vAlign w:val="top"/>
          </w:tcPr>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1.基于TCP/IP局域网或广域网，通过WEB方式登录系统，实现多用户不同位置进行系统操作及管理；</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2.系统节目支持文字、图像、视频、音频、天气、时间、直播流、文档（PPT、Word、Exc）等任意组合多媒体节目，节目元素可随意拖动位置和调整，实现分屏播放效果，节目场景可调整播放顺序，可保存为模板并使用，方便节目制作；</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3.系统权限：引入灵活的权限管理系统，使管理员能够根据具体需求为每个用户分配特定的权限；</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4.安全性：登录须填写动态验证码，且登录密码错误3次冻结账号登录，保障系统登录安全，防止登录攻击及机器人攻击。系统不开放注册账号，只能管理员添加账号，保障系统账号安全。</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5.节目发布采用3级权限审核方式，支持播放日程，可切换追加、插播、替换等模式；</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6.支持紧急插播：可发布滚动字幕按时间段、播放次数进行控制，播放列表支持快速制作、发布图片、视频、节目混播内容；</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7.系统模块：用户管理、设备管理、素材管理、信息发布、播放列表、发布管理、播放统计、节目管理、模板管理、led管理、系统设置等功能模块，系统可按需求定制开发；</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8.支持实时发布全国24小时地震信息，支持多种天气预警等；</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9.系统同时支持不少于两种节目内容制作及发布；</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10.客户端支持远程升级；</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 xml:space="preserve">11.支持设备多种控制，可以远程监控播放终端的画面，控制播放终端的音量、重启、背光、亮度、播放旋转、横竖屏、状态栏、开机自启、应用守护、校时、播放控制切换等，可支持定时开关机；                                   </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12.发布管理:支持节目发布采用三级权限审核方式，保障发布内容安全；发布审核程序：确保所有节目发布都经过严格的审核程序，包括内容审查和合格性审查；且设备可分配角色管理，保障设备信息安全；                                                                                      13.本系统既具有信息发布系统的节目发布功能。支持导航菜单、页面检索、多层查询、场景跳转、第三方网站链接；系统基于TCP/IP网络，支持安卓平台、windows平台、国产平台api接口对接；                                       14.支持数据对接，系统支持多种数据库对接，支持主流数据库，如SQL Server、MY SQL等；                                                                                                                           15.支持定时自动备份数据库，支持定时清除系统缓存功能；具有数据传输前后端加密传输；</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16.服务端兼容支持安卓客户端、window客户端、信创客户端等，且国产cpu，龙芯、统信操作系统等客户端平台获得互认证书；</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17.支持网页播放控制：刷新、前进、后退、缩放等；</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18.支持飞屏切换和普通切换等；                                                                                                                                                                             19.服务器监控：实时查看服务器cpu、磁盘、内存、java虚拟机、服务器信息等使用情况；                                                                                                                             20.添加首次登录强制修改密码，后续一个月强制修改一次功能；添加系统日志功能；</w:t>
            </w:r>
          </w:p>
          <w:p>
            <w:pPr>
              <w:pStyle w:val="2"/>
              <w:rPr>
                <w:rFonts w:hint="default"/>
                <w:lang w:val="en-US" w:eastAsia="zh-CN"/>
              </w:rPr>
            </w:pPr>
            <w:r>
              <w:rPr>
                <w:rFonts w:hint="eastAsia" w:ascii="仿宋" w:hAnsi="仿宋" w:eastAsia="仿宋"/>
                <w:bCs/>
                <w:szCs w:val="21"/>
                <w:lang w:val="en-US" w:eastAsia="zh-CN"/>
              </w:rPr>
              <w:t>21.系统所使用的显示终端、管理系统软件、显示终端软件必须采用同一品牌。</w:t>
            </w:r>
          </w:p>
        </w:tc>
        <w:tc>
          <w:tcPr>
            <w:tcW w:w="541" w:type="dxa"/>
            <w:noWrap w:val="0"/>
            <w:vAlign w:val="top"/>
          </w:tcPr>
          <w:p>
            <w:pPr>
              <w:spacing w:line="320" w:lineRule="exact"/>
              <w:jc w:val="center"/>
              <w:rPr>
                <w:rFonts w:hint="eastAsia"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568" w:type="dxa"/>
            <w:noWrap w:val="0"/>
            <w:vAlign w:val="center"/>
          </w:tcPr>
          <w:p>
            <w:pPr>
              <w:spacing w:line="320" w:lineRule="exact"/>
              <w:jc w:val="center"/>
              <w:rPr>
                <w:rFonts w:hint="default" w:ascii="仿宋" w:hAnsi="仿宋" w:eastAsia="仿宋"/>
                <w:bCs/>
                <w:szCs w:val="21"/>
                <w:lang w:val="en-US" w:eastAsia="zh-CN"/>
              </w:rPr>
            </w:pPr>
            <w:r>
              <w:rPr>
                <w:rFonts w:hint="eastAsia" w:ascii="仿宋" w:hAnsi="仿宋" w:eastAsia="仿宋"/>
                <w:bCs/>
                <w:szCs w:val="21"/>
                <w:lang w:val="en-US" w:eastAsia="zh-CN"/>
              </w:rPr>
              <w:t>2</w:t>
            </w:r>
          </w:p>
        </w:tc>
        <w:tc>
          <w:tcPr>
            <w:tcW w:w="1073" w:type="dxa"/>
            <w:noWrap w:val="0"/>
            <w:vAlign w:val="center"/>
          </w:tcPr>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r>
              <w:rPr>
                <w:rFonts w:hint="eastAsia" w:ascii="仿宋" w:hAnsi="仿宋" w:eastAsia="仿宋"/>
                <w:bCs/>
                <w:szCs w:val="21"/>
                <w:lang w:val="en-US" w:eastAsia="zh-CN"/>
              </w:rPr>
              <w:t>43寸显示终端</w:t>
            </w:r>
          </w:p>
        </w:tc>
        <w:tc>
          <w:tcPr>
            <w:tcW w:w="4523" w:type="dxa"/>
            <w:noWrap w:val="0"/>
            <w:vAlign w:val="top"/>
          </w:tcPr>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1、屏幕尺寸 ：43英寸，壁挂；</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2、物理分辨率≥1920*1080；</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3、面板类型：LED液晶显示屏，</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4、刷新率：≥60Hz；</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5、色彩数量≥16.7M；</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6、亮   度≥350cd/㎡；</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7、对 比 度≥3000:1；</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8、正常电压：交流电110V-240V；</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9、反应时间≤5ms；</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10、接口支持LAN网口≥1,USB≥2等；</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11、支持格式: 包括视频、音频、图片、文本；</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12、全格式解码：MPG、MPG 1/2/4、AVI、MP4、DIV、TS、TRP、RM、RMVB、 BMP、JPG 等全高清解码；</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13、网络：支持有线、无线WIFI、内置4G模块（物联卡）；</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 xml:space="preserve">14、音频参数：左声道/右声道/立体声； </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15、扬声器数量≥2个；</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16、系统配置：Android系统，内存≥2G，硬盘≥16G；</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17、电控系统：漏电保护开关，漏电保护、过压保护。微电脑定时开关,分时段定时控制机器启停,防雷器,防雷等级C级,防止瞬间感应雷击；（投标文件中提供具有CMA或CNAS标识第三方权威检测报告扫描件或影印件，报告中需体现此项）；</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18、内容管理：支持自动生成播放流水日志文件备案功能，便于客户查询记录，无须任何手动操作；播放管理：开机自动循环播放，支持断点记忆功能，广告插播功能，分时音量，不同时段，可以设置不同的音量；（投标文件中提供具有CMA或CNAS标识第三方权威检测报告扫描件或影印件，报告中需体现此项）；                                                                                                                                             19、自定义开机画面，开机Logo制定；</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 xml:space="preserve">20、页面自动跳转：当处于主页面时，10s不进行操作画面会自动跳转到节目播放页面；当处于子页面时60s不进行操作画面会自动跳转到主页面； </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21、预约下载和预约播放：按照预先编辑设定的休眠、启动时间、预约下载时间、预约播放时间等参数自动工作；（投标文件中提供具有CMA或CNAS标识第三方权威检测报告扫描件或影印件，报告中需体现此项）；</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22、滚动通知显示：支持在屏幕底部显示水平滚动文本字符,方便各种需要文字通知场合,可随时通过主控电脑(Media Server)更新显示内容；</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 xml:space="preserve">23、故障告警：支持远程进行实时的自动检测、监控并形成检测状态报告,同时可自动将故障信息传送到指定的邮箱中；    </w:t>
            </w:r>
          </w:p>
        </w:tc>
        <w:tc>
          <w:tcPr>
            <w:tcW w:w="541" w:type="dxa"/>
            <w:noWrap w:val="0"/>
            <w:vAlign w:val="top"/>
          </w:tcPr>
          <w:p>
            <w:pPr>
              <w:spacing w:line="320" w:lineRule="exact"/>
              <w:jc w:val="center"/>
              <w:rPr>
                <w:rFonts w:hint="eastAsia"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568" w:type="dxa"/>
            <w:noWrap w:val="0"/>
            <w:vAlign w:val="center"/>
          </w:tcPr>
          <w:p>
            <w:pPr>
              <w:spacing w:line="320" w:lineRule="exact"/>
              <w:jc w:val="center"/>
              <w:rPr>
                <w:rFonts w:hint="default" w:ascii="仿宋" w:hAnsi="仿宋" w:eastAsia="仿宋"/>
                <w:bCs/>
                <w:szCs w:val="21"/>
                <w:lang w:val="en-US" w:eastAsia="zh-CN"/>
              </w:rPr>
            </w:pPr>
            <w:r>
              <w:rPr>
                <w:rFonts w:hint="eastAsia" w:ascii="仿宋" w:hAnsi="仿宋" w:eastAsia="仿宋"/>
                <w:bCs/>
                <w:szCs w:val="21"/>
                <w:lang w:val="en-US" w:eastAsia="zh-CN"/>
              </w:rPr>
              <w:t>3</w:t>
            </w:r>
          </w:p>
        </w:tc>
        <w:tc>
          <w:tcPr>
            <w:tcW w:w="1073" w:type="dxa"/>
            <w:noWrap w:val="0"/>
            <w:vAlign w:val="center"/>
          </w:tcPr>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r>
              <w:rPr>
                <w:rFonts w:hint="eastAsia" w:ascii="仿宋" w:hAnsi="仿宋" w:eastAsia="仿宋"/>
                <w:bCs/>
                <w:szCs w:val="21"/>
                <w:lang w:val="en-US" w:eastAsia="zh-CN"/>
              </w:rPr>
              <w:t>55寸显示终端</w:t>
            </w:r>
          </w:p>
        </w:tc>
        <w:tc>
          <w:tcPr>
            <w:tcW w:w="4523" w:type="dxa"/>
            <w:noWrap w:val="0"/>
            <w:vAlign w:val="top"/>
          </w:tcPr>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1、屏幕尺寸 ：55英寸，壁挂；</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2、物理分辨率≥1920*1080；</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3、面板类型：LED液晶显示屏，</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4、刷新率：≥60Hz；</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5、色彩数量≥16.7M；</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6、亮   度≥350cd/㎡；</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7、对 比 度≥3000:1；</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8、正常电压：交流电110V-240V；</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9、反应时间≤5ms；</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10、接口支持LAN网口≥1,USB≥2等；</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11、支持格式: 包括视频、音频、图片、文本；</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12、全格式解码：MPG、MPG 1/2/4、AVI、MP4、DIV、TS、TRP、RM、RMVB、 BMP、JPG 等全高清解码；</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13、网络：支持有线、无线WIFI、内置4G模块（物联卡）；</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 xml:space="preserve">14、音频参数：左声道/右声道/立体声； </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15、扬声器数量≥2个；</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16、系统配置：Android系统，内存≥2G，硬盘≥16G；</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17、电控系统：漏电保护开关，漏电保护、过压保护。微电脑定时开关,分时段定时控制机器启停,防雷器,防雷等级C级,防止瞬间感应雷击；（投标文件中提供具有CMA或CNAS标识第三方权威检测报告扫描件或影印件，报告中需体现此项）；</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18、内容管理：支持自动生成播放流水日志文件备案功能，便于客户查询记录，无须任何手动操作；播放管理：开机自动循环播放，支持断点记忆功能，广告插播功能，分时音量，不同时段，可以设置不同的音量；（投标文件中提供具有CMA或CNAS标识第三方权威检测报告扫描件或影印件，报告中需体现此项）；                                                                                                                                             19、自定义开机画面，开机Logo制定；</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20、页面自动跳转：当处于主页面时，10s不进行操作画面会自动跳转到节目播放页面；当处于子页面时60s不进行操作画面会自动跳转到主页面；</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21、预约下载和预约播放：按照预先编辑设定的休眠、启动时间、预约下载时间、预约播放时间等参数自动工作；（投标文件中提供具有CMA或CNAS标识第三方权威检测报告扫描件或影印件，报告中需体现此项）；</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22、滚动通知显示：支持在屏幕底部显示水平滚动文本字符,方便各种需要文字通知场合,可随时通过主控电脑(Media Server)更新显示内容；</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 xml:space="preserve">23、故障告警：支持远程进行实时的自动检测、监控并形成检测状态报告,同时可自动将故障信息传送到指定的邮箱中； </w:t>
            </w:r>
          </w:p>
        </w:tc>
        <w:tc>
          <w:tcPr>
            <w:tcW w:w="541" w:type="dxa"/>
            <w:noWrap w:val="0"/>
            <w:vAlign w:val="top"/>
          </w:tcPr>
          <w:p>
            <w:pPr>
              <w:spacing w:line="320" w:lineRule="exact"/>
              <w:jc w:val="center"/>
              <w:rPr>
                <w:rFonts w:hint="eastAsia"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568" w:type="dxa"/>
            <w:noWrap w:val="0"/>
            <w:vAlign w:val="center"/>
          </w:tcPr>
          <w:p>
            <w:pPr>
              <w:spacing w:line="320" w:lineRule="exact"/>
              <w:jc w:val="center"/>
              <w:rPr>
                <w:rFonts w:hint="default" w:ascii="仿宋" w:hAnsi="仿宋" w:eastAsia="仿宋"/>
                <w:bCs/>
                <w:szCs w:val="21"/>
                <w:lang w:val="en-US" w:eastAsia="zh-CN"/>
              </w:rPr>
            </w:pPr>
            <w:r>
              <w:rPr>
                <w:rFonts w:hint="eastAsia" w:ascii="仿宋" w:hAnsi="仿宋" w:eastAsia="仿宋"/>
                <w:bCs/>
                <w:szCs w:val="21"/>
                <w:lang w:val="en-US" w:eastAsia="zh-CN"/>
              </w:rPr>
              <w:t>4</w:t>
            </w:r>
          </w:p>
        </w:tc>
        <w:tc>
          <w:tcPr>
            <w:tcW w:w="1073" w:type="dxa"/>
            <w:noWrap w:val="0"/>
            <w:vAlign w:val="center"/>
          </w:tcPr>
          <w:p>
            <w:pPr>
              <w:spacing w:line="320" w:lineRule="exact"/>
              <w:jc w:val="center"/>
              <w:rPr>
                <w:rFonts w:hint="eastAsia" w:ascii="仿宋" w:hAnsi="仿宋" w:eastAsia="仿宋"/>
                <w:bCs/>
                <w:szCs w:val="21"/>
                <w:lang w:val="en-US" w:eastAsia="zh-CN"/>
              </w:rPr>
            </w:pPr>
            <w:r>
              <w:rPr>
                <w:rFonts w:hint="eastAsia" w:ascii="仿宋" w:hAnsi="仿宋" w:eastAsia="仿宋"/>
                <w:bCs/>
                <w:szCs w:val="21"/>
                <w:lang w:val="en-US" w:eastAsia="zh-CN"/>
              </w:rPr>
              <w:t>65寸显示终端</w:t>
            </w:r>
          </w:p>
        </w:tc>
        <w:tc>
          <w:tcPr>
            <w:tcW w:w="4523" w:type="dxa"/>
            <w:noWrap w:val="0"/>
            <w:vAlign w:val="top"/>
          </w:tcPr>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1、屏幕尺寸 ：65英寸，壁挂；</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2、物理分辨率≥1920*1080；</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3、面板类型：LED液晶显示屏，</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4、刷新率：≥60Hz；</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5、色彩数量≥16.7M；</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6、亮   度≥350cd/㎡；</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7、对 比 度≥3000:1；</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8、正常电压：交流电110V-240V；</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9、反应时间≤5ms；</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10、接口支持LAN网口≥1,USB≥2等；</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11、支持格式: 包括视频、音频、图片、文本；</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12、全格式解码：MPG、MPG 1/2/4、AVI、MP4、DIV、TS、TRP、RM、RMVB、 BMP、JPG 等全高清解码；</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13、网络：支持有线、无线WIFI、内置4G模块（物联卡）；</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 xml:space="preserve">14、音频参数：左声道/右声道/立体声； </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15、扬声器数量≥2个；</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16、系统配置：Android系统，内存≥2G，硬盘≥16G；</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17、电控系统：漏电保护开关，漏电保护、过压保护。微电脑定时开关,分时段定时控制机器启停,防雷器,防雷等级C级,防止瞬间感应雷击；（投标文件中提供具有CMA或CNAS标识第三方权威检测报告扫描件或影印件，报告中需体现此项）；</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18、内容管理：支持自动生成播放流水日志文件备案功能，便于客户查询记录，无须任何手动操作；播放管理：开机自动循环播放，支持断点记忆功能，广告插播功能，分时音量，不同时段，可以设置不同的音量；（投标文件中提供具有CMA或CNAS标识第三方权威检测报告扫描件或影印件，报告中需体现此项）；                                                                                                                                             19、自定义开机画面，开机Logo制定；</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20、页面自动跳转：当处于主页面时，10s不进行操作画面会自动跳转到节目播放页面；当处于子页面时60s不进行操作画面会自动跳转到主页面；</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21、预约下载和预约播放：按照预先编辑设定的休眠、启动时间、预约下载时间、预约播放时间等参数自动工作；（投标文件中提供具有CMA或CNAS标识第三方权威检测报告扫描件或影印件，报告中需体现此项）；</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22、滚动通知显示：支持在屏幕底部显示水平滚动文本字符,方便各种需要文字通知场合,可随时通过主控电脑(Media Server)更新显示内容；</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 xml:space="preserve">23、故障告警：支持远程进行实时的自动检测、监控并形成检测状态报告,同时可自动将故障信息传送到指定的邮箱中； </w:t>
            </w:r>
          </w:p>
        </w:tc>
        <w:tc>
          <w:tcPr>
            <w:tcW w:w="541" w:type="dxa"/>
            <w:noWrap w:val="0"/>
            <w:vAlign w:val="top"/>
          </w:tcPr>
          <w:p>
            <w:pPr>
              <w:spacing w:line="320" w:lineRule="exact"/>
              <w:jc w:val="center"/>
              <w:rPr>
                <w:rFonts w:hint="eastAsia"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2" w:hRule="atLeast"/>
        </w:trPr>
        <w:tc>
          <w:tcPr>
            <w:tcW w:w="568" w:type="dxa"/>
            <w:noWrap w:val="0"/>
            <w:vAlign w:val="center"/>
          </w:tcPr>
          <w:p>
            <w:pPr>
              <w:spacing w:line="320" w:lineRule="exact"/>
              <w:jc w:val="center"/>
              <w:rPr>
                <w:rFonts w:hint="default" w:ascii="仿宋" w:hAnsi="仿宋" w:eastAsia="仿宋"/>
                <w:bCs/>
                <w:szCs w:val="21"/>
                <w:lang w:val="en-US" w:eastAsia="zh-CN"/>
              </w:rPr>
            </w:pPr>
            <w:r>
              <w:rPr>
                <w:rFonts w:hint="eastAsia" w:ascii="仿宋" w:hAnsi="仿宋" w:eastAsia="仿宋"/>
                <w:bCs/>
                <w:szCs w:val="21"/>
                <w:lang w:val="en-US" w:eastAsia="zh-CN"/>
              </w:rPr>
              <w:t>5</w:t>
            </w:r>
          </w:p>
        </w:tc>
        <w:tc>
          <w:tcPr>
            <w:tcW w:w="1073" w:type="dxa"/>
            <w:noWrap w:val="0"/>
            <w:vAlign w:val="center"/>
          </w:tcPr>
          <w:p>
            <w:pPr>
              <w:spacing w:line="320" w:lineRule="exact"/>
              <w:jc w:val="center"/>
              <w:rPr>
                <w:rFonts w:hint="default" w:ascii="仿宋" w:hAnsi="仿宋" w:eastAsia="仿宋"/>
                <w:bCs/>
                <w:szCs w:val="21"/>
                <w:lang w:val="en-US" w:eastAsia="zh-CN"/>
              </w:rPr>
            </w:pPr>
            <w:r>
              <w:rPr>
                <w:rFonts w:hint="eastAsia" w:ascii="仿宋" w:hAnsi="仿宋" w:eastAsia="仿宋"/>
                <w:bCs/>
                <w:szCs w:val="21"/>
                <w:lang w:val="en-US" w:eastAsia="zh-CN"/>
              </w:rPr>
              <w:t>集成工程</w:t>
            </w:r>
          </w:p>
        </w:tc>
        <w:tc>
          <w:tcPr>
            <w:tcW w:w="4523" w:type="dxa"/>
            <w:noWrap w:val="0"/>
            <w:vAlign w:val="top"/>
          </w:tcPr>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系统部署，显示屏安装、调试，含配套辅材及人工等。</w:t>
            </w:r>
          </w:p>
        </w:tc>
        <w:tc>
          <w:tcPr>
            <w:tcW w:w="541" w:type="dxa"/>
            <w:noWrap w:val="0"/>
            <w:vAlign w:val="top"/>
          </w:tcPr>
          <w:p>
            <w:pPr>
              <w:spacing w:line="320" w:lineRule="exact"/>
              <w:jc w:val="center"/>
              <w:rPr>
                <w:rFonts w:hint="eastAsia"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6" w:hRule="atLeast"/>
        </w:trPr>
        <w:tc>
          <w:tcPr>
            <w:tcW w:w="568" w:type="dxa"/>
            <w:noWrap w:val="0"/>
            <w:vAlign w:val="center"/>
          </w:tcPr>
          <w:p>
            <w:pPr>
              <w:spacing w:line="320" w:lineRule="exact"/>
              <w:jc w:val="center"/>
              <w:rPr>
                <w:rFonts w:hint="default" w:ascii="仿宋" w:hAnsi="仿宋" w:eastAsia="仿宋"/>
                <w:bCs/>
                <w:szCs w:val="21"/>
                <w:lang w:val="en-US" w:eastAsia="zh-CN"/>
              </w:rPr>
            </w:pPr>
            <w:r>
              <w:rPr>
                <w:rFonts w:hint="eastAsia" w:ascii="仿宋" w:hAnsi="仿宋" w:eastAsia="仿宋"/>
                <w:bCs/>
                <w:szCs w:val="21"/>
                <w:lang w:val="en-US" w:eastAsia="zh-CN"/>
              </w:rPr>
              <w:t>6</w:t>
            </w:r>
          </w:p>
        </w:tc>
        <w:tc>
          <w:tcPr>
            <w:tcW w:w="1073" w:type="dxa"/>
            <w:noWrap w:val="0"/>
            <w:vAlign w:val="center"/>
          </w:tcPr>
          <w:p>
            <w:pPr>
              <w:spacing w:line="320" w:lineRule="exact"/>
              <w:jc w:val="center"/>
              <w:rPr>
                <w:rFonts w:hint="eastAsia" w:ascii="仿宋" w:hAnsi="仿宋" w:eastAsia="仿宋"/>
                <w:bCs/>
                <w:szCs w:val="21"/>
                <w:lang w:val="en-US" w:eastAsia="zh-CN"/>
              </w:rPr>
            </w:pPr>
            <w:r>
              <w:rPr>
                <w:rFonts w:hint="eastAsia" w:ascii="仿宋" w:hAnsi="仿宋" w:eastAsia="仿宋"/>
                <w:bCs/>
                <w:szCs w:val="21"/>
                <w:lang w:val="en-US" w:eastAsia="zh-CN"/>
              </w:rPr>
              <w:t>物联网卡</w:t>
            </w:r>
          </w:p>
        </w:tc>
        <w:tc>
          <w:tcPr>
            <w:tcW w:w="4523" w:type="dxa"/>
            <w:noWrap w:val="0"/>
            <w:vAlign w:val="top"/>
          </w:tcPr>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机卡绑定，固定IP，流量满足业务使用量。</w:t>
            </w:r>
          </w:p>
        </w:tc>
        <w:tc>
          <w:tcPr>
            <w:tcW w:w="541" w:type="dxa"/>
            <w:noWrap w:val="0"/>
            <w:vAlign w:val="top"/>
          </w:tcPr>
          <w:p>
            <w:pPr>
              <w:spacing w:line="320" w:lineRule="exact"/>
              <w:jc w:val="center"/>
              <w:rPr>
                <w:rFonts w:hint="eastAsia"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4" w:hRule="atLeast"/>
        </w:trPr>
        <w:tc>
          <w:tcPr>
            <w:tcW w:w="568" w:type="dxa"/>
            <w:noWrap w:val="0"/>
            <w:vAlign w:val="center"/>
          </w:tcPr>
          <w:p>
            <w:pPr>
              <w:spacing w:line="320" w:lineRule="exact"/>
              <w:jc w:val="center"/>
              <w:rPr>
                <w:rFonts w:hint="default" w:ascii="仿宋" w:hAnsi="仿宋" w:eastAsia="仿宋"/>
                <w:bCs/>
                <w:szCs w:val="21"/>
                <w:lang w:val="en-US" w:eastAsia="zh-CN"/>
              </w:rPr>
            </w:pPr>
            <w:r>
              <w:rPr>
                <w:rFonts w:hint="eastAsia" w:ascii="仿宋" w:hAnsi="仿宋" w:eastAsia="仿宋"/>
                <w:bCs/>
                <w:szCs w:val="21"/>
                <w:lang w:val="en-US" w:eastAsia="zh-CN"/>
              </w:rPr>
              <w:t>7</w:t>
            </w:r>
          </w:p>
        </w:tc>
        <w:tc>
          <w:tcPr>
            <w:tcW w:w="1073" w:type="dxa"/>
            <w:noWrap w:val="0"/>
            <w:vAlign w:val="center"/>
          </w:tcPr>
          <w:p>
            <w:pPr>
              <w:spacing w:line="320" w:lineRule="exact"/>
              <w:jc w:val="center"/>
              <w:rPr>
                <w:rFonts w:hint="eastAsia" w:ascii="仿宋" w:hAnsi="仿宋" w:eastAsia="仿宋"/>
                <w:bCs/>
                <w:szCs w:val="21"/>
                <w:lang w:val="en-US" w:eastAsia="zh-CN"/>
              </w:rPr>
            </w:pPr>
            <w:r>
              <w:rPr>
                <w:rFonts w:hint="eastAsia" w:ascii="仿宋" w:hAnsi="仿宋" w:eastAsia="仿宋"/>
                <w:bCs/>
                <w:szCs w:val="21"/>
                <w:lang w:val="en-US" w:eastAsia="zh-CN"/>
              </w:rPr>
              <w:t>运营商专线</w:t>
            </w:r>
          </w:p>
        </w:tc>
        <w:tc>
          <w:tcPr>
            <w:tcW w:w="4523" w:type="dxa"/>
            <w:noWrap w:val="0"/>
            <w:vAlign w:val="top"/>
          </w:tcPr>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数据专线，带宽不低于10M。</w:t>
            </w:r>
          </w:p>
        </w:tc>
        <w:tc>
          <w:tcPr>
            <w:tcW w:w="541" w:type="dxa"/>
            <w:noWrap w:val="0"/>
            <w:vAlign w:val="top"/>
          </w:tcPr>
          <w:p>
            <w:pPr>
              <w:spacing w:line="320" w:lineRule="exact"/>
              <w:jc w:val="center"/>
              <w:rPr>
                <w:rFonts w:hint="eastAsia"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bl>
    <w:p>
      <w:pPr>
        <w:jc w:val="both"/>
        <w:rPr>
          <w:rFonts w:hint="eastAsia" w:ascii="宋体" w:hAnsi="宋体" w:cs="宋体"/>
          <w:b/>
          <w:bCs/>
          <w:color w:val="auto"/>
          <w:sz w:val="24"/>
          <w:szCs w:val="24"/>
          <w:lang w:val="en-US" w:eastAsia="zh-CN"/>
        </w:rPr>
      </w:pPr>
      <w:r>
        <w:rPr>
          <w:rFonts w:hint="eastAsia" w:ascii="宋体" w:hAnsi="宋体" w:cs="宋体"/>
          <w:b/>
          <w:bCs/>
          <w:color w:val="auto"/>
          <w:sz w:val="24"/>
          <w:szCs w:val="24"/>
          <w:lang w:val="en-US" w:eastAsia="zh-CN"/>
        </w:rPr>
        <w:t>备注：</w:t>
      </w:r>
    </w:p>
    <w:p>
      <w:pPr>
        <w:pStyle w:val="2"/>
        <w:numPr>
          <w:ilvl w:val="0"/>
          <w:numId w:val="2"/>
        </w:numPr>
        <w:rPr>
          <w:rFonts w:hint="eastAsia" w:ascii="宋体" w:hAnsi="宋体" w:cs="宋体"/>
          <w:b/>
          <w:bCs/>
          <w:color w:val="auto"/>
          <w:sz w:val="24"/>
          <w:szCs w:val="24"/>
          <w:lang w:val="en-US" w:eastAsia="zh-CN"/>
        </w:rPr>
      </w:pPr>
      <w:r>
        <w:rPr>
          <w:rFonts w:hint="eastAsia" w:ascii="宋体" w:hAnsi="宋体" w:cs="宋体"/>
          <w:b/>
          <w:bCs/>
          <w:color w:val="auto"/>
          <w:sz w:val="24"/>
          <w:szCs w:val="24"/>
          <w:lang w:val="en-US" w:eastAsia="zh-CN"/>
        </w:rPr>
        <w:t>该项目涉及全区共有19个乡镇卫生院及4个社区卫生服务中心，乡镇级共计需要23台信息发布终端设备，全区村级共计282台信息发布终端设备。显示终端三种预算价征集模式分别报价，分别为①、23台*65寸组合282台*55寸；②、23台*65寸组合282台*43寸；③、23台*55寸组合282台*43寸，①②③需分别报价；</w:t>
      </w:r>
    </w:p>
    <w:p>
      <w:pPr>
        <w:pStyle w:val="2"/>
        <w:numPr>
          <w:ilvl w:val="0"/>
          <w:numId w:val="2"/>
        </w:numPr>
        <w:rPr>
          <w:rFonts w:hint="eastAsia" w:ascii="宋体" w:hAnsi="宋体" w:cs="宋体"/>
          <w:b/>
          <w:bCs/>
          <w:color w:val="auto"/>
          <w:sz w:val="24"/>
          <w:szCs w:val="24"/>
          <w:lang w:val="en-US" w:eastAsia="zh-CN"/>
        </w:rPr>
      </w:pPr>
      <w:r>
        <w:rPr>
          <w:rFonts w:hint="eastAsia" w:ascii="宋体" w:hAnsi="宋体" w:cs="宋体"/>
          <w:b/>
          <w:bCs/>
          <w:color w:val="auto"/>
          <w:sz w:val="24"/>
          <w:szCs w:val="24"/>
          <w:lang w:val="en-US" w:eastAsia="zh-CN"/>
        </w:rPr>
        <w:t>项目包含所有设备上架及网络配置调试过程涉及的所有线缆及辅材费用，不再计算其他任何费用；</w:t>
      </w:r>
    </w:p>
    <w:p>
      <w:pPr>
        <w:pStyle w:val="2"/>
        <w:numPr>
          <w:ilvl w:val="0"/>
          <w:numId w:val="2"/>
        </w:numPr>
        <w:rPr>
          <w:rFonts w:hint="eastAsia" w:ascii="宋体" w:hAnsi="宋体" w:cs="宋体"/>
          <w:b/>
          <w:bCs/>
          <w:color w:val="auto"/>
          <w:sz w:val="24"/>
          <w:szCs w:val="24"/>
          <w:lang w:val="en-US" w:eastAsia="zh-CN"/>
        </w:rPr>
      </w:pPr>
      <w:r>
        <w:rPr>
          <w:rFonts w:hint="eastAsia" w:ascii="宋体" w:hAnsi="宋体" w:cs="宋体"/>
          <w:b/>
          <w:bCs/>
          <w:color w:val="auto"/>
          <w:sz w:val="24"/>
          <w:szCs w:val="24"/>
          <w:lang w:val="en-US" w:eastAsia="zh-CN"/>
        </w:rPr>
        <w:t>该项目在验收通过之日起，显示设备三年内免费保修及免费上门维修。三年内软件若有更新，免费升级；如出现设备故障，能保证对用户的服务要求能在20分钟之内响应，1小时到达现场并恢复系统及设备，</w:t>
      </w:r>
      <w:bookmarkStart w:id="0" w:name="_GoBack"/>
      <w:bookmarkEnd w:id="0"/>
      <w:r>
        <w:rPr>
          <w:rFonts w:hint="eastAsia" w:ascii="宋体" w:hAnsi="宋体" w:cs="宋体"/>
          <w:b/>
          <w:bCs/>
          <w:color w:val="auto"/>
          <w:sz w:val="24"/>
          <w:szCs w:val="24"/>
          <w:lang w:val="en-US" w:eastAsia="zh-CN"/>
        </w:rPr>
        <w:t>其正常运行使用。</w:t>
      </w:r>
    </w:p>
    <w:p>
      <w:pPr>
        <w:pStyle w:val="2"/>
        <w:numPr>
          <w:ilvl w:val="0"/>
          <w:numId w:val="2"/>
        </w:numPr>
        <w:rPr>
          <w:rFonts w:hint="eastAsia" w:ascii="宋体" w:hAnsi="宋体" w:eastAsia="宋体" w:cs="宋体"/>
          <w:b/>
          <w:bCs/>
          <w:color w:val="auto"/>
          <w:sz w:val="24"/>
          <w:szCs w:val="24"/>
          <w:lang w:val="en-US" w:eastAsia="zh-CN"/>
        </w:rPr>
      </w:pPr>
      <w:r>
        <w:rPr>
          <w:rFonts w:hint="eastAsia" w:ascii="宋体" w:hAnsi="宋体" w:cs="宋体"/>
          <w:b/>
          <w:bCs/>
          <w:color w:val="auto"/>
          <w:sz w:val="24"/>
          <w:szCs w:val="24"/>
          <w:lang w:val="en-US" w:eastAsia="zh-CN"/>
        </w:rPr>
        <w:t>供应商投标时必须提供详细项目详细的实施方案：包含施工完成时间安排、维护、服务方案、培训方案、安全保障方案(服务器、网络、终端)、应急服务方案等；</w:t>
      </w:r>
    </w:p>
    <w:p>
      <w:pPr>
        <w:pStyle w:val="2"/>
        <w:numPr>
          <w:ilvl w:val="0"/>
          <w:numId w:val="2"/>
        </w:numPr>
        <w:rPr>
          <w:rFonts w:hint="eastAsia" w:ascii="宋体" w:hAnsi="宋体" w:eastAsia="宋体" w:cs="宋体"/>
          <w:b/>
          <w:bCs/>
          <w:color w:val="auto"/>
          <w:sz w:val="24"/>
          <w:szCs w:val="24"/>
          <w:lang w:val="en-US" w:eastAsia="zh-CN"/>
        </w:rPr>
      </w:pPr>
      <w:r>
        <w:rPr>
          <w:rFonts w:hint="eastAsia" w:ascii="宋体" w:hAnsi="宋体" w:cs="宋体"/>
          <w:b/>
          <w:bCs/>
          <w:color w:val="auto"/>
          <w:sz w:val="24"/>
          <w:szCs w:val="24"/>
          <w:lang w:val="en-US" w:eastAsia="zh-CN"/>
        </w:rPr>
        <w:t>所提供信息系统软件需符合信息安全等级保护三级要求；</w:t>
      </w:r>
    </w:p>
    <w:p>
      <w:pPr>
        <w:spacing w:line="280" w:lineRule="exact"/>
        <w:ind w:firstLine="420" w:firstLineChars="200"/>
        <w:rPr>
          <w:rFonts w:ascii="仿宋" w:hAnsi="仿宋" w:eastAsia="仿宋"/>
          <w:szCs w:val="21"/>
        </w:rPr>
      </w:pP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docPartObj>
        <w:docPartGallery w:val="autotext"/>
      </w:docPartObj>
    </w:sdtPr>
    <w:sdtContent>
      <w:sdt>
        <w:sdtPr>
          <w:id w:val="171357217"/>
          <w:docPartObj>
            <w:docPartGallery w:val="autotext"/>
          </w:docPartObj>
        </w:sdtPr>
        <w:sdtContent>
          <w:p>
            <w:pPr>
              <w:pStyle w:val="4"/>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w:t>
            </w:r>
            <w:r>
              <w:rPr>
                <w:b/>
                <w:sz w:val="24"/>
                <w:szCs w:val="24"/>
              </w:rPr>
              <w:fldChar w:fldCharType="end"/>
            </w:r>
          </w:p>
        </w:sdtContent>
      </w:sdt>
    </w:sdtContent>
  </w:sdt>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9"/>
      <w:numFmt w:val="decimal"/>
      <w:pStyle w:val="14"/>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C7890A0"/>
    <w:multiLevelType w:val="singleLevel"/>
    <w:tmpl w:val="1C7890A0"/>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MwZWE0MjdkNmUyYzJlNjJmNTM0ODJjOTJiNjk2Y2I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93E71"/>
    <w:rsid w:val="002A1DD3"/>
    <w:rsid w:val="002A7CA5"/>
    <w:rsid w:val="002B077D"/>
    <w:rsid w:val="002C5A78"/>
    <w:rsid w:val="002D3C54"/>
    <w:rsid w:val="002E5FE9"/>
    <w:rsid w:val="002F1DC9"/>
    <w:rsid w:val="002F4594"/>
    <w:rsid w:val="002F46AF"/>
    <w:rsid w:val="003035B7"/>
    <w:rsid w:val="00305A35"/>
    <w:rsid w:val="00307C82"/>
    <w:rsid w:val="0031412D"/>
    <w:rsid w:val="003231BF"/>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5065"/>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D128C"/>
    <w:rsid w:val="007F1FF3"/>
    <w:rsid w:val="007F72EE"/>
    <w:rsid w:val="0080420A"/>
    <w:rsid w:val="008056D0"/>
    <w:rsid w:val="00811886"/>
    <w:rsid w:val="00824B71"/>
    <w:rsid w:val="00847753"/>
    <w:rsid w:val="00847A3B"/>
    <w:rsid w:val="0085631E"/>
    <w:rsid w:val="00864B32"/>
    <w:rsid w:val="00865BB3"/>
    <w:rsid w:val="00874654"/>
    <w:rsid w:val="00881362"/>
    <w:rsid w:val="00882830"/>
    <w:rsid w:val="00890A8A"/>
    <w:rsid w:val="0089602A"/>
    <w:rsid w:val="008A6728"/>
    <w:rsid w:val="008B0511"/>
    <w:rsid w:val="008B5062"/>
    <w:rsid w:val="008D74CA"/>
    <w:rsid w:val="008F3959"/>
    <w:rsid w:val="008F4405"/>
    <w:rsid w:val="00903E1D"/>
    <w:rsid w:val="00905854"/>
    <w:rsid w:val="0091705B"/>
    <w:rsid w:val="00917314"/>
    <w:rsid w:val="00917684"/>
    <w:rsid w:val="00927E50"/>
    <w:rsid w:val="00932055"/>
    <w:rsid w:val="00934412"/>
    <w:rsid w:val="0094514A"/>
    <w:rsid w:val="0097447A"/>
    <w:rsid w:val="0098543F"/>
    <w:rsid w:val="009865B1"/>
    <w:rsid w:val="00986D55"/>
    <w:rsid w:val="00993FE8"/>
    <w:rsid w:val="00996932"/>
    <w:rsid w:val="009B0355"/>
    <w:rsid w:val="009B36A3"/>
    <w:rsid w:val="009B70B7"/>
    <w:rsid w:val="009E2359"/>
    <w:rsid w:val="009E4466"/>
    <w:rsid w:val="00A024EE"/>
    <w:rsid w:val="00A069B9"/>
    <w:rsid w:val="00A11A36"/>
    <w:rsid w:val="00A46863"/>
    <w:rsid w:val="00A528E9"/>
    <w:rsid w:val="00A669AF"/>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F3FEC"/>
    <w:rsid w:val="00E0491B"/>
    <w:rsid w:val="00E04C87"/>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25F4"/>
    <w:rsid w:val="00FD192E"/>
    <w:rsid w:val="00FD1B59"/>
    <w:rsid w:val="00FE5B5E"/>
    <w:rsid w:val="00FE5E56"/>
    <w:rsid w:val="00FF5778"/>
    <w:rsid w:val="015121CF"/>
    <w:rsid w:val="017E0025"/>
    <w:rsid w:val="018A4310"/>
    <w:rsid w:val="01D30D51"/>
    <w:rsid w:val="026E2AF7"/>
    <w:rsid w:val="028C3AAC"/>
    <w:rsid w:val="02FD2A99"/>
    <w:rsid w:val="03162918"/>
    <w:rsid w:val="03250779"/>
    <w:rsid w:val="032A2E76"/>
    <w:rsid w:val="032F53C7"/>
    <w:rsid w:val="03C97D13"/>
    <w:rsid w:val="03D80B70"/>
    <w:rsid w:val="046F708F"/>
    <w:rsid w:val="047A164B"/>
    <w:rsid w:val="047C479E"/>
    <w:rsid w:val="04BE4ABB"/>
    <w:rsid w:val="04DC0C65"/>
    <w:rsid w:val="056B1321"/>
    <w:rsid w:val="058F7ED5"/>
    <w:rsid w:val="05A625A8"/>
    <w:rsid w:val="05B61689"/>
    <w:rsid w:val="064A2CE4"/>
    <w:rsid w:val="06A72333"/>
    <w:rsid w:val="06F66A9B"/>
    <w:rsid w:val="079C369B"/>
    <w:rsid w:val="07AF1FB4"/>
    <w:rsid w:val="07D72EEC"/>
    <w:rsid w:val="080C3738"/>
    <w:rsid w:val="081F2DB2"/>
    <w:rsid w:val="086253B7"/>
    <w:rsid w:val="086504F8"/>
    <w:rsid w:val="091329AD"/>
    <w:rsid w:val="09135C29"/>
    <w:rsid w:val="0A1730E8"/>
    <w:rsid w:val="0A203C23"/>
    <w:rsid w:val="0AB32F3C"/>
    <w:rsid w:val="0AC56166"/>
    <w:rsid w:val="0AFC6D92"/>
    <w:rsid w:val="0B1F4CC9"/>
    <w:rsid w:val="0B4418D4"/>
    <w:rsid w:val="0BBB58C2"/>
    <w:rsid w:val="0C0F5353"/>
    <w:rsid w:val="0C32096A"/>
    <w:rsid w:val="0C476F17"/>
    <w:rsid w:val="0C7E360B"/>
    <w:rsid w:val="0C820673"/>
    <w:rsid w:val="0C9B1482"/>
    <w:rsid w:val="0D485FCF"/>
    <w:rsid w:val="0D5D409D"/>
    <w:rsid w:val="0D86358A"/>
    <w:rsid w:val="0E0B2DA3"/>
    <w:rsid w:val="0EEF0F83"/>
    <w:rsid w:val="0F014E92"/>
    <w:rsid w:val="0F1E3A54"/>
    <w:rsid w:val="0F3C791F"/>
    <w:rsid w:val="0F966E56"/>
    <w:rsid w:val="0FE443F8"/>
    <w:rsid w:val="10551A84"/>
    <w:rsid w:val="105E5829"/>
    <w:rsid w:val="107D4AA0"/>
    <w:rsid w:val="10B05A5F"/>
    <w:rsid w:val="10FD56B0"/>
    <w:rsid w:val="11035FCE"/>
    <w:rsid w:val="11286FF8"/>
    <w:rsid w:val="11A33589"/>
    <w:rsid w:val="11C40F77"/>
    <w:rsid w:val="11CC15E8"/>
    <w:rsid w:val="11CC5345"/>
    <w:rsid w:val="12374B2C"/>
    <w:rsid w:val="1238648A"/>
    <w:rsid w:val="12454614"/>
    <w:rsid w:val="124F493A"/>
    <w:rsid w:val="125A4762"/>
    <w:rsid w:val="12893951"/>
    <w:rsid w:val="12DE5A9C"/>
    <w:rsid w:val="13334A49"/>
    <w:rsid w:val="13611B4B"/>
    <w:rsid w:val="137B6A6E"/>
    <w:rsid w:val="138A39DE"/>
    <w:rsid w:val="13A80EEF"/>
    <w:rsid w:val="13C733D2"/>
    <w:rsid w:val="147D52F1"/>
    <w:rsid w:val="14CF6BB1"/>
    <w:rsid w:val="15325208"/>
    <w:rsid w:val="155A79E0"/>
    <w:rsid w:val="15BD705A"/>
    <w:rsid w:val="15D10D8D"/>
    <w:rsid w:val="15E33C23"/>
    <w:rsid w:val="16CC4399"/>
    <w:rsid w:val="17091AEE"/>
    <w:rsid w:val="17461E90"/>
    <w:rsid w:val="177719DE"/>
    <w:rsid w:val="177C4762"/>
    <w:rsid w:val="177F0D6A"/>
    <w:rsid w:val="17FA25E5"/>
    <w:rsid w:val="1899778B"/>
    <w:rsid w:val="18D4649C"/>
    <w:rsid w:val="18D56FD4"/>
    <w:rsid w:val="193F0899"/>
    <w:rsid w:val="1A0260CE"/>
    <w:rsid w:val="1A652E65"/>
    <w:rsid w:val="1A7937AC"/>
    <w:rsid w:val="1A8F6DD6"/>
    <w:rsid w:val="1AC057F3"/>
    <w:rsid w:val="1B101758"/>
    <w:rsid w:val="1B9F31F9"/>
    <w:rsid w:val="1BD75F88"/>
    <w:rsid w:val="1BD91B12"/>
    <w:rsid w:val="1BEF2AA3"/>
    <w:rsid w:val="1C9571A6"/>
    <w:rsid w:val="1D2B387D"/>
    <w:rsid w:val="1D3A482F"/>
    <w:rsid w:val="1D5D0BCD"/>
    <w:rsid w:val="1DA42EB1"/>
    <w:rsid w:val="1DE06805"/>
    <w:rsid w:val="1DF36129"/>
    <w:rsid w:val="1DF93C7B"/>
    <w:rsid w:val="1E41352B"/>
    <w:rsid w:val="1EA53CFF"/>
    <w:rsid w:val="1F186F98"/>
    <w:rsid w:val="1FCB2AEC"/>
    <w:rsid w:val="1FDF6783"/>
    <w:rsid w:val="209C2D0F"/>
    <w:rsid w:val="20AE1D18"/>
    <w:rsid w:val="20B120D5"/>
    <w:rsid w:val="20C0486A"/>
    <w:rsid w:val="20CC5612"/>
    <w:rsid w:val="21156130"/>
    <w:rsid w:val="219B39E2"/>
    <w:rsid w:val="21C645C7"/>
    <w:rsid w:val="21D63524"/>
    <w:rsid w:val="221F22B3"/>
    <w:rsid w:val="2233022B"/>
    <w:rsid w:val="22421C49"/>
    <w:rsid w:val="22426CD1"/>
    <w:rsid w:val="229131B3"/>
    <w:rsid w:val="22E90E34"/>
    <w:rsid w:val="22FB3ADB"/>
    <w:rsid w:val="23035A4C"/>
    <w:rsid w:val="231D1DD1"/>
    <w:rsid w:val="233B51A7"/>
    <w:rsid w:val="235130BE"/>
    <w:rsid w:val="23EE25BB"/>
    <w:rsid w:val="23F938FE"/>
    <w:rsid w:val="25052E0F"/>
    <w:rsid w:val="25552E7D"/>
    <w:rsid w:val="25720D38"/>
    <w:rsid w:val="25CB2A80"/>
    <w:rsid w:val="25E05DF6"/>
    <w:rsid w:val="263225F6"/>
    <w:rsid w:val="264C3185"/>
    <w:rsid w:val="27E16F51"/>
    <w:rsid w:val="27FD740B"/>
    <w:rsid w:val="28102089"/>
    <w:rsid w:val="28632016"/>
    <w:rsid w:val="2873238A"/>
    <w:rsid w:val="28C732A1"/>
    <w:rsid w:val="28CA467C"/>
    <w:rsid w:val="28F516D7"/>
    <w:rsid w:val="29194CF5"/>
    <w:rsid w:val="295E6B72"/>
    <w:rsid w:val="29977838"/>
    <w:rsid w:val="29EE439A"/>
    <w:rsid w:val="2A1C3CD3"/>
    <w:rsid w:val="2AC8553F"/>
    <w:rsid w:val="2B914D75"/>
    <w:rsid w:val="2BE07BE3"/>
    <w:rsid w:val="2C2C2704"/>
    <w:rsid w:val="2C6E3570"/>
    <w:rsid w:val="2CAF5180"/>
    <w:rsid w:val="2CB30A73"/>
    <w:rsid w:val="2CBF2091"/>
    <w:rsid w:val="2D286742"/>
    <w:rsid w:val="2D542A2A"/>
    <w:rsid w:val="2D656A67"/>
    <w:rsid w:val="2E19748C"/>
    <w:rsid w:val="2E4209D9"/>
    <w:rsid w:val="2E616B37"/>
    <w:rsid w:val="2EFB29F1"/>
    <w:rsid w:val="2F1E291D"/>
    <w:rsid w:val="2F620C2E"/>
    <w:rsid w:val="2FD951A4"/>
    <w:rsid w:val="2FE75B13"/>
    <w:rsid w:val="30042440"/>
    <w:rsid w:val="30467FFD"/>
    <w:rsid w:val="3069004A"/>
    <w:rsid w:val="30696528"/>
    <w:rsid w:val="30716F06"/>
    <w:rsid w:val="30B13EB7"/>
    <w:rsid w:val="30E600AF"/>
    <w:rsid w:val="30F17F41"/>
    <w:rsid w:val="311938B0"/>
    <w:rsid w:val="315B210C"/>
    <w:rsid w:val="3164112A"/>
    <w:rsid w:val="317F1D7B"/>
    <w:rsid w:val="31CC76FF"/>
    <w:rsid w:val="31F172F6"/>
    <w:rsid w:val="32905CAB"/>
    <w:rsid w:val="32B51A27"/>
    <w:rsid w:val="32FA6504"/>
    <w:rsid w:val="330A11E9"/>
    <w:rsid w:val="335210D7"/>
    <w:rsid w:val="33D54BEA"/>
    <w:rsid w:val="34E12746"/>
    <w:rsid w:val="355A5092"/>
    <w:rsid w:val="356C1CB1"/>
    <w:rsid w:val="357E5017"/>
    <w:rsid w:val="358D3127"/>
    <w:rsid w:val="35A119F9"/>
    <w:rsid w:val="35E52E60"/>
    <w:rsid w:val="362339C7"/>
    <w:rsid w:val="363B2715"/>
    <w:rsid w:val="367F3DA1"/>
    <w:rsid w:val="36AC7731"/>
    <w:rsid w:val="36F1454D"/>
    <w:rsid w:val="37712166"/>
    <w:rsid w:val="37CF3484"/>
    <w:rsid w:val="37D710BC"/>
    <w:rsid w:val="37E17463"/>
    <w:rsid w:val="384637F8"/>
    <w:rsid w:val="38DC31DA"/>
    <w:rsid w:val="3A2B484E"/>
    <w:rsid w:val="3A636FDD"/>
    <w:rsid w:val="3A7537C9"/>
    <w:rsid w:val="3A9C74FA"/>
    <w:rsid w:val="3B126CF0"/>
    <w:rsid w:val="3B354EAA"/>
    <w:rsid w:val="3B927DA6"/>
    <w:rsid w:val="3BC12604"/>
    <w:rsid w:val="3C36245C"/>
    <w:rsid w:val="3C5820D4"/>
    <w:rsid w:val="3C5D298C"/>
    <w:rsid w:val="3C60338E"/>
    <w:rsid w:val="3C840FCA"/>
    <w:rsid w:val="3CA90ECD"/>
    <w:rsid w:val="3CAE4D3F"/>
    <w:rsid w:val="3D3943C1"/>
    <w:rsid w:val="3DAC214A"/>
    <w:rsid w:val="3DBA0CE8"/>
    <w:rsid w:val="3DC926AD"/>
    <w:rsid w:val="3E291783"/>
    <w:rsid w:val="3F253EC2"/>
    <w:rsid w:val="3FDE6FD5"/>
    <w:rsid w:val="4015650F"/>
    <w:rsid w:val="40676830"/>
    <w:rsid w:val="40F06215"/>
    <w:rsid w:val="411101D9"/>
    <w:rsid w:val="41120516"/>
    <w:rsid w:val="41391759"/>
    <w:rsid w:val="415E262D"/>
    <w:rsid w:val="41910EE4"/>
    <w:rsid w:val="41B80523"/>
    <w:rsid w:val="41BC551E"/>
    <w:rsid w:val="421279E6"/>
    <w:rsid w:val="423F3439"/>
    <w:rsid w:val="42611F54"/>
    <w:rsid w:val="427E62A6"/>
    <w:rsid w:val="42985C27"/>
    <w:rsid w:val="42C1143C"/>
    <w:rsid w:val="42D57D44"/>
    <w:rsid w:val="434D63C0"/>
    <w:rsid w:val="434D745C"/>
    <w:rsid w:val="43E95815"/>
    <w:rsid w:val="44364CD0"/>
    <w:rsid w:val="44472C6C"/>
    <w:rsid w:val="448E1FA2"/>
    <w:rsid w:val="452B2802"/>
    <w:rsid w:val="457F7ACC"/>
    <w:rsid w:val="46C2238E"/>
    <w:rsid w:val="46FB6035"/>
    <w:rsid w:val="47AF3639"/>
    <w:rsid w:val="47B26F7D"/>
    <w:rsid w:val="480F1E94"/>
    <w:rsid w:val="482F7F71"/>
    <w:rsid w:val="48AA70D7"/>
    <w:rsid w:val="48C0669E"/>
    <w:rsid w:val="48D611CF"/>
    <w:rsid w:val="48D85FE9"/>
    <w:rsid w:val="48DB6BC0"/>
    <w:rsid w:val="48E94455"/>
    <w:rsid w:val="49330904"/>
    <w:rsid w:val="49551A36"/>
    <w:rsid w:val="49B42FE5"/>
    <w:rsid w:val="49B63AD6"/>
    <w:rsid w:val="49D41D01"/>
    <w:rsid w:val="49DA5AB1"/>
    <w:rsid w:val="4B683C0F"/>
    <w:rsid w:val="4B815160"/>
    <w:rsid w:val="4BBB64D2"/>
    <w:rsid w:val="4BBC17AA"/>
    <w:rsid w:val="4C250F27"/>
    <w:rsid w:val="4C7235CD"/>
    <w:rsid w:val="4CFC11EA"/>
    <w:rsid w:val="4D0000F3"/>
    <w:rsid w:val="4D225F85"/>
    <w:rsid w:val="4D2E6FC3"/>
    <w:rsid w:val="4D3F1A54"/>
    <w:rsid w:val="4D491AF0"/>
    <w:rsid w:val="4D4A1B0C"/>
    <w:rsid w:val="4DAE1E85"/>
    <w:rsid w:val="4DC376D1"/>
    <w:rsid w:val="4E682070"/>
    <w:rsid w:val="4E914C57"/>
    <w:rsid w:val="4F413B09"/>
    <w:rsid w:val="4F792DCA"/>
    <w:rsid w:val="4F8F10A2"/>
    <w:rsid w:val="4F9D25EA"/>
    <w:rsid w:val="4FAA2E71"/>
    <w:rsid w:val="4FE70DC0"/>
    <w:rsid w:val="503B0D85"/>
    <w:rsid w:val="51195F62"/>
    <w:rsid w:val="51214A1C"/>
    <w:rsid w:val="51B6537D"/>
    <w:rsid w:val="51D60BAD"/>
    <w:rsid w:val="51E85918"/>
    <w:rsid w:val="526B785D"/>
    <w:rsid w:val="529A4E08"/>
    <w:rsid w:val="53054F9F"/>
    <w:rsid w:val="53351597"/>
    <w:rsid w:val="53633748"/>
    <w:rsid w:val="538E7F97"/>
    <w:rsid w:val="53F31105"/>
    <w:rsid w:val="54665390"/>
    <w:rsid w:val="54777B6E"/>
    <w:rsid w:val="54796820"/>
    <w:rsid w:val="5490517C"/>
    <w:rsid w:val="54DF553D"/>
    <w:rsid w:val="556B4EDD"/>
    <w:rsid w:val="55DD08C4"/>
    <w:rsid w:val="560343FB"/>
    <w:rsid w:val="56466840"/>
    <w:rsid w:val="565C5E10"/>
    <w:rsid w:val="56605C0D"/>
    <w:rsid w:val="566C55F5"/>
    <w:rsid w:val="568C5B7C"/>
    <w:rsid w:val="5719718C"/>
    <w:rsid w:val="576F4F06"/>
    <w:rsid w:val="58780095"/>
    <w:rsid w:val="58F451C8"/>
    <w:rsid w:val="599704D6"/>
    <w:rsid w:val="5B1220CD"/>
    <w:rsid w:val="5B2F1CB7"/>
    <w:rsid w:val="5BF92FB6"/>
    <w:rsid w:val="5C207A49"/>
    <w:rsid w:val="5C451348"/>
    <w:rsid w:val="5C6E4D42"/>
    <w:rsid w:val="5D40525F"/>
    <w:rsid w:val="5D433C9B"/>
    <w:rsid w:val="5DC934C7"/>
    <w:rsid w:val="5DE61BB4"/>
    <w:rsid w:val="5DE921E3"/>
    <w:rsid w:val="5E025F34"/>
    <w:rsid w:val="5E5B76CA"/>
    <w:rsid w:val="5E6957E0"/>
    <w:rsid w:val="5EAF49FF"/>
    <w:rsid w:val="5EB005A8"/>
    <w:rsid w:val="5ED457C4"/>
    <w:rsid w:val="5F36302E"/>
    <w:rsid w:val="5F5D4F94"/>
    <w:rsid w:val="600E2F0E"/>
    <w:rsid w:val="60A0128E"/>
    <w:rsid w:val="613D6F0C"/>
    <w:rsid w:val="61563EDB"/>
    <w:rsid w:val="61606110"/>
    <w:rsid w:val="616B2C59"/>
    <w:rsid w:val="618B5A4F"/>
    <w:rsid w:val="61C35ECC"/>
    <w:rsid w:val="6200624D"/>
    <w:rsid w:val="622412A8"/>
    <w:rsid w:val="624152A8"/>
    <w:rsid w:val="62717F29"/>
    <w:rsid w:val="62C959F4"/>
    <w:rsid w:val="6431737D"/>
    <w:rsid w:val="64491E06"/>
    <w:rsid w:val="65351D88"/>
    <w:rsid w:val="653D28FB"/>
    <w:rsid w:val="653F0AED"/>
    <w:rsid w:val="65483BE2"/>
    <w:rsid w:val="65BB2EF6"/>
    <w:rsid w:val="65D82B19"/>
    <w:rsid w:val="65E7565B"/>
    <w:rsid w:val="65F32E35"/>
    <w:rsid w:val="666E3111"/>
    <w:rsid w:val="66B90AD6"/>
    <w:rsid w:val="66F34A45"/>
    <w:rsid w:val="67096872"/>
    <w:rsid w:val="672166AA"/>
    <w:rsid w:val="673F51FA"/>
    <w:rsid w:val="681D4ECB"/>
    <w:rsid w:val="689F687A"/>
    <w:rsid w:val="68A270ED"/>
    <w:rsid w:val="68F64B7B"/>
    <w:rsid w:val="69993FC4"/>
    <w:rsid w:val="69C433F1"/>
    <w:rsid w:val="6A163EBE"/>
    <w:rsid w:val="6A656DD9"/>
    <w:rsid w:val="6B0928F1"/>
    <w:rsid w:val="6B763559"/>
    <w:rsid w:val="6BA52303"/>
    <w:rsid w:val="6C7F08A6"/>
    <w:rsid w:val="6CBA018C"/>
    <w:rsid w:val="6CD67BD4"/>
    <w:rsid w:val="6D302D7C"/>
    <w:rsid w:val="6D392803"/>
    <w:rsid w:val="6D9E2518"/>
    <w:rsid w:val="6DBA7B46"/>
    <w:rsid w:val="6E77495A"/>
    <w:rsid w:val="6EAF635F"/>
    <w:rsid w:val="6EC800BC"/>
    <w:rsid w:val="6FB73BE7"/>
    <w:rsid w:val="6FC74F89"/>
    <w:rsid w:val="6FC82399"/>
    <w:rsid w:val="6FE93FCD"/>
    <w:rsid w:val="70120CD3"/>
    <w:rsid w:val="705B2C76"/>
    <w:rsid w:val="70CB34AB"/>
    <w:rsid w:val="70F17567"/>
    <w:rsid w:val="710A4F1D"/>
    <w:rsid w:val="71685DAD"/>
    <w:rsid w:val="718E6436"/>
    <w:rsid w:val="725F012C"/>
    <w:rsid w:val="727A01CC"/>
    <w:rsid w:val="72FD5CB8"/>
    <w:rsid w:val="73452A90"/>
    <w:rsid w:val="73586019"/>
    <w:rsid w:val="736E6F41"/>
    <w:rsid w:val="73CC6079"/>
    <w:rsid w:val="73DF5EF1"/>
    <w:rsid w:val="74CF4AFC"/>
    <w:rsid w:val="751E4CA6"/>
    <w:rsid w:val="753A5E46"/>
    <w:rsid w:val="7550035E"/>
    <w:rsid w:val="758A45B5"/>
    <w:rsid w:val="759D5A90"/>
    <w:rsid w:val="75A1160C"/>
    <w:rsid w:val="75F0684F"/>
    <w:rsid w:val="75F56E68"/>
    <w:rsid w:val="768840AF"/>
    <w:rsid w:val="76A81B2B"/>
    <w:rsid w:val="76EA5E9C"/>
    <w:rsid w:val="771C3B7F"/>
    <w:rsid w:val="77570EBD"/>
    <w:rsid w:val="77F86EC8"/>
    <w:rsid w:val="781028F2"/>
    <w:rsid w:val="781E605F"/>
    <w:rsid w:val="788A1EBA"/>
    <w:rsid w:val="78C402EA"/>
    <w:rsid w:val="7924125A"/>
    <w:rsid w:val="79627EE8"/>
    <w:rsid w:val="797B7BE6"/>
    <w:rsid w:val="799E4500"/>
    <w:rsid w:val="79FB08F2"/>
    <w:rsid w:val="7A6D1745"/>
    <w:rsid w:val="7A8D0632"/>
    <w:rsid w:val="7A8E45BE"/>
    <w:rsid w:val="7BDD0B1E"/>
    <w:rsid w:val="7C366122"/>
    <w:rsid w:val="7C693CA2"/>
    <w:rsid w:val="7C7062B2"/>
    <w:rsid w:val="7D4E23DA"/>
    <w:rsid w:val="7E3452EF"/>
    <w:rsid w:val="7E6601F9"/>
    <w:rsid w:val="7EC42D4A"/>
    <w:rsid w:val="7EE97DD9"/>
    <w:rsid w:val="7EF02F3D"/>
    <w:rsid w:val="7F8B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0"/>
    <w:pPr>
      <w:spacing w:after="120"/>
    </w:pPr>
  </w:style>
  <w:style w:type="paragraph" w:styleId="3">
    <w:name w:val="Normal Indent"/>
    <w:basedOn w:val="1"/>
    <w:autoRedefine/>
    <w:qFormat/>
    <w:uiPriority w:val="0"/>
    <w:pPr>
      <w:ind w:firstLine="420"/>
    </w:pPr>
    <w:rPr>
      <w:rFonts w:ascii="Calibri" w:hAnsi="Calibri" w:eastAsia="宋体" w:cs="Times New Roman"/>
    </w:rPr>
  </w:style>
  <w:style w:type="paragraph" w:styleId="4">
    <w:name w:val="footer"/>
    <w:basedOn w:val="1"/>
    <w:link w:val="13"/>
    <w:autoRedefine/>
    <w:unhideWhenUsed/>
    <w:qFormat/>
    <w:uiPriority w:val="99"/>
    <w:pPr>
      <w:tabs>
        <w:tab w:val="center" w:pos="4153"/>
        <w:tab w:val="right" w:pos="8306"/>
      </w:tabs>
      <w:snapToGrid w:val="0"/>
      <w:jc w:val="left"/>
    </w:pPr>
    <w:rPr>
      <w:sz w:val="18"/>
      <w:szCs w:val="18"/>
    </w:rPr>
  </w:style>
  <w:style w:type="paragraph" w:styleId="5">
    <w:name w:val="header"/>
    <w:basedOn w:val="1"/>
    <w:link w:val="12"/>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First Indent"/>
    <w:basedOn w:val="2"/>
    <w:autoRedefine/>
    <w:unhideWhenUsed/>
    <w:qFormat/>
    <w:uiPriority w:val="99"/>
    <w:pPr>
      <w:ind w:firstLine="420" w:firstLineChars="100"/>
    </w:pPr>
    <w:rPr>
      <w:rFonts w:ascii="Times New Roman" w:hAnsi="Times New Roman"/>
      <w:kern w:val="0"/>
      <w:sz w:val="20"/>
      <w:szCs w:val="20"/>
    </w:rPr>
  </w:style>
  <w:style w:type="table" w:styleId="8">
    <w:name w:val="Table Grid"/>
    <w:basedOn w:val="7"/>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10">
    <w:name w:val="style4"/>
    <w:basedOn w:val="1"/>
    <w:next w:val="11"/>
    <w:autoRedefine/>
    <w:qFormat/>
    <w:uiPriority w:val="0"/>
    <w:pPr>
      <w:widowControl/>
      <w:spacing w:before="280" w:after="280"/>
    </w:pPr>
    <w:rPr>
      <w:rFonts w:ascii="宋体" w:hAnsi="Times New Roman" w:eastAsia="宋体" w:cs="Times New Roman"/>
      <w:sz w:val="18"/>
    </w:rPr>
  </w:style>
  <w:style w:type="paragraph" w:customStyle="1" w:styleId="11">
    <w:name w:val="2"/>
    <w:next w:val="1"/>
    <w:autoRedefine/>
    <w:qFormat/>
    <w:uiPriority w:val="0"/>
    <w:pPr>
      <w:widowControl w:val="0"/>
      <w:jc w:val="both"/>
    </w:pPr>
    <w:rPr>
      <w:rFonts w:ascii="Calibri" w:hAnsi="Calibri" w:eastAsia="宋体" w:cs="Times New Roman"/>
      <w:sz w:val="21"/>
      <w:szCs w:val="22"/>
      <w:lang w:val="en-US" w:eastAsia="zh-CN" w:bidi="ar-SA"/>
    </w:rPr>
  </w:style>
  <w:style w:type="character" w:customStyle="1" w:styleId="12">
    <w:name w:val="页眉 Char"/>
    <w:basedOn w:val="9"/>
    <w:link w:val="5"/>
    <w:autoRedefine/>
    <w:semiHidden/>
    <w:qFormat/>
    <w:uiPriority w:val="99"/>
    <w:rPr>
      <w:sz w:val="18"/>
      <w:szCs w:val="18"/>
    </w:rPr>
  </w:style>
  <w:style w:type="character" w:customStyle="1" w:styleId="13">
    <w:name w:val="页脚 Char"/>
    <w:basedOn w:val="9"/>
    <w:link w:val="4"/>
    <w:autoRedefine/>
    <w:qFormat/>
    <w:uiPriority w:val="99"/>
    <w:rPr>
      <w:sz w:val="18"/>
      <w:szCs w:val="18"/>
    </w:rPr>
  </w:style>
  <w:style w:type="paragraph" w:customStyle="1" w:styleId="14">
    <w:name w:val="正文1"/>
    <w:basedOn w:val="1"/>
    <w:autoRedefine/>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15">
    <w:name w:val="NormalCharacter"/>
    <w:autoRedefine/>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1136</Words>
  <Characters>1168</Characters>
  <Lines>6</Lines>
  <Paragraphs>1</Paragraphs>
  <TotalTime>6</TotalTime>
  <ScaleCrop>false</ScaleCrop>
  <LinksUpToDate>false</LinksUpToDate>
  <CharactersWithSpaces>1371</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2020-03-12T00:43:00Z</dcterms:created>
  <dc:creator>AutoBVT</dc:creator>
  <cp:lastModifiedBy>罗昊</cp:lastModifiedBy>
  <dcterms:modified xsi:type="dcterms:W3CDTF">2024-06-12T01:30:27Z</dcterms:modified>
  <cp:revision>1082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236EE8110CB74B6D96A171B8B9CB89FA</vt:lpwstr>
  </property>
  <property fmtid="{D5CDD505-2E9C-101B-9397-08002B2CF9AE}" pid="4" name="commondata">
    <vt:lpwstr>eyJoZGlkIjoiNzljOTE0MDRlMmUyY2M3ZGQ4Nzk0OWRiOWI1OGE3ZmYifQ==</vt:lpwstr>
  </property>
</Properties>
</file>