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宋体" w:hAnsi="宋体"/>
          <w:color w:val="000000"/>
          <w:sz w:val="32"/>
          <w:szCs w:val="32"/>
        </w:rPr>
      </w:pPr>
    </w:p>
    <w:p>
      <w:pPr>
        <w:jc w:val="center"/>
        <w:rPr>
          <w:rFonts w:ascii="宋体" w:hAnsi="宋体"/>
          <w:color w:val="000000"/>
          <w:sz w:val="32"/>
          <w:szCs w:val="32"/>
        </w:rPr>
      </w:pPr>
    </w:p>
    <w:p>
      <w:pPr>
        <w:jc w:val="center"/>
        <w:rPr>
          <w:rFonts w:ascii="宋体" w:hAnsi="宋体"/>
          <w:color w:val="000000"/>
          <w:sz w:val="44"/>
          <w:szCs w:val="44"/>
        </w:rPr>
      </w:pPr>
      <w:r>
        <w:rPr>
          <w:rFonts w:hint="eastAsia" w:ascii="宋体" w:hAnsi="宋体"/>
          <w:color w:val="000000"/>
          <w:sz w:val="44"/>
          <w:szCs w:val="44"/>
        </w:rPr>
        <w:t>六安市中医院消毒供应中心新增</w:t>
      </w:r>
    </w:p>
    <w:p>
      <w:pPr>
        <w:jc w:val="center"/>
        <w:rPr>
          <w:rFonts w:hint="eastAsia" w:ascii="宋体" w:hAnsi="宋体" w:eastAsia="宋体"/>
          <w:color w:val="000000"/>
          <w:sz w:val="44"/>
          <w:szCs w:val="44"/>
          <w:lang w:eastAsia="zh-CN"/>
        </w:rPr>
      </w:pPr>
      <w:r>
        <w:rPr>
          <w:rFonts w:hint="eastAsia" w:ascii="宋体" w:hAnsi="宋体"/>
          <w:color w:val="000000"/>
          <w:sz w:val="44"/>
          <w:szCs w:val="44"/>
        </w:rPr>
        <w:t>设备改造工程</w:t>
      </w:r>
      <w:r>
        <w:rPr>
          <w:rFonts w:hint="eastAsia" w:ascii="宋体" w:hAnsi="宋体"/>
          <w:color w:val="000000"/>
          <w:sz w:val="44"/>
          <w:szCs w:val="44"/>
          <w:lang w:eastAsia="zh-CN"/>
        </w:rPr>
        <w:t>（第</w:t>
      </w:r>
      <w:r>
        <w:rPr>
          <w:rFonts w:hint="eastAsia" w:ascii="宋体" w:hAnsi="宋体"/>
          <w:color w:val="000000"/>
          <w:sz w:val="44"/>
          <w:szCs w:val="44"/>
          <w:lang w:val="en-US" w:eastAsia="zh-CN"/>
        </w:rPr>
        <w:t>2次</w:t>
      </w:r>
      <w:r>
        <w:rPr>
          <w:rFonts w:hint="eastAsia" w:ascii="宋体" w:hAnsi="宋体"/>
          <w:color w:val="000000"/>
          <w:sz w:val="44"/>
          <w:szCs w:val="44"/>
          <w:lang w:eastAsia="zh-CN"/>
        </w:rPr>
        <w:t>）</w:t>
      </w:r>
    </w:p>
    <w:p>
      <w:pPr>
        <w:jc w:val="center"/>
        <w:rPr>
          <w:rFonts w:ascii="宋体" w:hAnsi="宋体"/>
          <w:color w:val="000000"/>
          <w:sz w:val="48"/>
          <w:szCs w:val="48"/>
        </w:rPr>
      </w:pPr>
    </w:p>
    <w:p>
      <w:pPr>
        <w:jc w:val="center"/>
        <w:rPr>
          <w:rFonts w:ascii="宋体" w:hAnsi="宋体"/>
          <w:color w:val="000000"/>
          <w:sz w:val="120"/>
          <w:szCs w:val="120"/>
        </w:rPr>
      </w:pPr>
      <w:r>
        <w:rPr>
          <w:rFonts w:hint="eastAsia" w:ascii="宋体" w:hAnsi="宋体"/>
          <w:color w:val="000000"/>
          <w:sz w:val="120"/>
          <w:szCs w:val="120"/>
          <w:lang w:eastAsia="zh-CN"/>
        </w:rPr>
        <w:t>发包</w:t>
      </w:r>
      <w:r>
        <w:rPr>
          <w:rFonts w:hint="eastAsia" w:ascii="宋体" w:hAnsi="宋体"/>
          <w:color w:val="000000"/>
          <w:sz w:val="120"/>
          <w:szCs w:val="120"/>
        </w:rPr>
        <w:t>文件</w:t>
      </w:r>
    </w:p>
    <w:p>
      <w:pPr>
        <w:jc w:val="center"/>
        <w:rPr>
          <w:rFonts w:ascii="宋体" w:hAnsi="宋体"/>
          <w:color w:val="000000"/>
          <w:sz w:val="24"/>
        </w:rPr>
      </w:pPr>
    </w:p>
    <w:p>
      <w:pPr>
        <w:jc w:val="center"/>
        <w:rPr>
          <w:rFonts w:hint="default" w:ascii="宋体" w:hAnsi="宋体" w:eastAsia="宋体"/>
          <w:color w:val="000000"/>
          <w:sz w:val="24"/>
          <w:lang w:val="en-US" w:eastAsia="zh-CN"/>
        </w:rPr>
      </w:pPr>
      <w:r>
        <w:rPr>
          <w:rFonts w:hint="eastAsia" w:ascii="宋体" w:hAnsi="宋体"/>
          <w:b/>
          <w:bCs/>
          <w:color w:val="000000"/>
          <w:sz w:val="30"/>
          <w:szCs w:val="30"/>
        </w:rPr>
        <w:t>项目编号</w:t>
      </w:r>
      <w:r>
        <w:rPr>
          <w:rFonts w:hint="eastAsia" w:ascii="宋体" w:hAnsi="宋体"/>
          <w:color w:val="000000"/>
          <w:sz w:val="30"/>
          <w:szCs w:val="30"/>
        </w:rPr>
        <w:t>：LASZYY-ZBB2021065</w:t>
      </w:r>
      <w:r>
        <w:rPr>
          <w:rFonts w:hint="eastAsia" w:ascii="宋体" w:hAnsi="宋体"/>
          <w:color w:val="000000"/>
          <w:sz w:val="30"/>
          <w:szCs w:val="30"/>
          <w:lang w:val="en-US" w:eastAsia="zh-CN"/>
        </w:rPr>
        <w:t>-2</w:t>
      </w:r>
    </w:p>
    <w:p>
      <w:pPr>
        <w:jc w:val="center"/>
        <w:rPr>
          <w:rFonts w:ascii="宋体" w:hAnsi="宋体"/>
          <w:color w:val="000000"/>
          <w:sz w:val="24"/>
        </w:rPr>
      </w:pPr>
    </w:p>
    <w:p>
      <w:pPr>
        <w:jc w:val="center"/>
        <w:rPr>
          <w:rFonts w:ascii="宋体" w:hAnsi="宋体"/>
          <w:color w:val="000000"/>
          <w:sz w:val="24"/>
        </w:rPr>
      </w:pPr>
    </w:p>
    <w:p>
      <w:pPr>
        <w:jc w:val="center"/>
        <w:rPr>
          <w:rFonts w:ascii="宋体" w:hAnsi="宋体"/>
          <w:color w:val="000000"/>
          <w:sz w:val="24"/>
        </w:rPr>
      </w:pPr>
    </w:p>
    <w:p>
      <w:pPr>
        <w:jc w:val="center"/>
        <w:rPr>
          <w:rFonts w:ascii="宋体" w:hAnsi="宋体"/>
          <w:color w:val="000000"/>
          <w:sz w:val="24"/>
        </w:rPr>
      </w:pPr>
    </w:p>
    <w:p>
      <w:pPr>
        <w:jc w:val="center"/>
        <w:rPr>
          <w:rFonts w:ascii="宋体" w:hAnsi="宋体"/>
          <w:color w:val="000000"/>
          <w:sz w:val="24"/>
        </w:rPr>
      </w:pPr>
    </w:p>
    <w:p>
      <w:pPr>
        <w:jc w:val="center"/>
        <w:rPr>
          <w:rFonts w:ascii="宋体" w:hAnsi="宋体"/>
          <w:color w:val="000000"/>
          <w:sz w:val="24"/>
        </w:rPr>
      </w:pPr>
    </w:p>
    <w:p>
      <w:pPr>
        <w:jc w:val="center"/>
        <w:rPr>
          <w:rFonts w:ascii="宋体" w:hAnsi="宋体"/>
          <w:color w:val="000000"/>
          <w:sz w:val="24"/>
        </w:rPr>
      </w:pPr>
    </w:p>
    <w:p>
      <w:pPr>
        <w:jc w:val="center"/>
        <w:rPr>
          <w:rFonts w:ascii="宋体" w:hAnsi="宋体"/>
          <w:color w:val="000000"/>
          <w:sz w:val="24"/>
        </w:rPr>
      </w:pPr>
    </w:p>
    <w:p>
      <w:pPr>
        <w:jc w:val="center"/>
        <w:rPr>
          <w:rFonts w:ascii="宋体" w:hAnsi="宋体"/>
          <w:color w:val="000000"/>
          <w:sz w:val="24"/>
        </w:rPr>
      </w:pPr>
    </w:p>
    <w:p>
      <w:pPr>
        <w:jc w:val="center"/>
        <w:rPr>
          <w:rFonts w:ascii="宋体" w:hAnsi="宋体"/>
          <w:color w:val="000000"/>
          <w:sz w:val="24"/>
        </w:rPr>
      </w:pPr>
    </w:p>
    <w:p>
      <w:pPr>
        <w:jc w:val="center"/>
        <w:rPr>
          <w:rFonts w:ascii="宋体" w:hAnsi="宋体"/>
          <w:color w:val="000000"/>
          <w:sz w:val="24"/>
        </w:rPr>
      </w:pPr>
    </w:p>
    <w:p>
      <w:pPr>
        <w:jc w:val="center"/>
        <w:rPr>
          <w:rFonts w:ascii="宋体" w:hAnsi="宋体"/>
          <w:color w:val="000000"/>
          <w:sz w:val="24"/>
        </w:rPr>
      </w:pPr>
    </w:p>
    <w:p>
      <w:pPr>
        <w:jc w:val="center"/>
        <w:rPr>
          <w:rFonts w:ascii="宋体" w:hAnsi="宋体"/>
          <w:color w:val="000000"/>
          <w:sz w:val="24"/>
        </w:rPr>
      </w:pPr>
    </w:p>
    <w:p>
      <w:pPr>
        <w:jc w:val="center"/>
        <w:rPr>
          <w:rFonts w:ascii="宋体" w:hAnsi="宋体"/>
          <w:color w:val="000000"/>
          <w:sz w:val="24"/>
        </w:rPr>
      </w:pPr>
    </w:p>
    <w:p>
      <w:pPr>
        <w:jc w:val="center"/>
        <w:rPr>
          <w:rFonts w:ascii="宋体" w:hAnsi="宋体"/>
          <w:color w:val="000000"/>
          <w:sz w:val="24"/>
        </w:rPr>
      </w:pPr>
    </w:p>
    <w:p>
      <w:pPr>
        <w:jc w:val="center"/>
        <w:rPr>
          <w:rFonts w:ascii="宋体" w:hAnsi="宋体"/>
          <w:color w:val="000000"/>
          <w:sz w:val="24"/>
        </w:rPr>
      </w:pPr>
    </w:p>
    <w:p>
      <w:pPr>
        <w:jc w:val="center"/>
        <w:rPr>
          <w:rFonts w:ascii="宋体" w:hAnsi="宋体"/>
          <w:color w:val="000000"/>
          <w:sz w:val="24"/>
        </w:rPr>
      </w:pPr>
    </w:p>
    <w:p>
      <w:pPr>
        <w:jc w:val="center"/>
        <w:rPr>
          <w:rFonts w:ascii="宋体" w:hAnsi="宋体"/>
          <w:color w:val="000000"/>
          <w:sz w:val="24"/>
        </w:rPr>
      </w:pPr>
    </w:p>
    <w:p>
      <w:pPr>
        <w:jc w:val="center"/>
        <w:rPr>
          <w:rFonts w:ascii="宋体" w:hAnsi="宋体"/>
          <w:color w:val="000000"/>
          <w:sz w:val="24"/>
        </w:rPr>
      </w:pPr>
    </w:p>
    <w:p>
      <w:pPr>
        <w:jc w:val="center"/>
        <w:rPr>
          <w:rFonts w:ascii="宋体" w:hAnsi="宋体"/>
          <w:color w:val="000000"/>
          <w:sz w:val="24"/>
        </w:rPr>
      </w:pPr>
    </w:p>
    <w:p>
      <w:pPr>
        <w:jc w:val="center"/>
        <w:rPr>
          <w:rFonts w:ascii="宋体" w:hAnsi="宋体"/>
          <w:color w:val="000000"/>
          <w:sz w:val="24"/>
        </w:rPr>
      </w:pPr>
    </w:p>
    <w:p>
      <w:pPr>
        <w:spacing w:line="500" w:lineRule="exact"/>
        <w:ind w:firstLine="3080" w:firstLineChars="1100"/>
        <w:rPr>
          <w:rFonts w:ascii="宋体" w:hAnsi="宋体"/>
          <w:color w:val="000000"/>
          <w:sz w:val="28"/>
          <w:szCs w:val="28"/>
        </w:rPr>
      </w:pPr>
      <w:r>
        <w:rPr>
          <w:rFonts w:hint="eastAsia" w:ascii="宋体" w:hAnsi="宋体"/>
          <w:color w:val="000000"/>
          <w:sz w:val="28"/>
          <w:szCs w:val="28"/>
        </w:rPr>
        <w:t>招标人：</w:t>
      </w:r>
      <w:r>
        <w:rPr>
          <w:rFonts w:hint="eastAsia" w:ascii="宋体" w:hAnsi="宋体"/>
          <w:color w:val="000000"/>
          <w:spacing w:val="20"/>
          <w:sz w:val="28"/>
          <w:szCs w:val="28"/>
        </w:rPr>
        <w:t>六安市中医院</w:t>
      </w:r>
    </w:p>
    <w:p>
      <w:pPr>
        <w:spacing w:line="500" w:lineRule="exact"/>
        <w:jc w:val="center"/>
        <w:rPr>
          <w:rFonts w:ascii="宋体" w:hAnsi="宋体"/>
          <w:color w:val="000000"/>
          <w:sz w:val="28"/>
          <w:szCs w:val="28"/>
        </w:rPr>
      </w:pPr>
      <w:r>
        <w:rPr>
          <w:rFonts w:hint="eastAsia" w:ascii="宋体" w:hAnsi="宋体"/>
          <w:color w:val="000000"/>
          <w:sz w:val="28"/>
          <w:szCs w:val="28"/>
        </w:rPr>
        <w:t xml:space="preserve"> </w:t>
      </w:r>
    </w:p>
    <w:p>
      <w:pPr>
        <w:widowControl/>
        <w:spacing w:before="360" w:beforeLines="150" w:line="375" w:lineRule="atLeast"/>
        <w:jc w:val="center"/>
        <w:rPr>
          <w:rFonts w:ascii="宋体" w:hAnsi="宋体"/>
          <w:color w:val="000000"/>
          <w:sz w:val="32"/>
          <w:szCs w:val="32"/>
        </w:rPr>
      </w:pPr>
      <w:r>
        <w:rPr>
          <w:rFonts w:hint="eastAsia" w:ascii="宋体" w:hAnsi="宋体"/>
          <w:color w:val="000000"/>
          <w:sz w:val="28"/>
          <w:szCs w:val="28"/>
        </w:rPr>
        <w:t>二〇二一年</w:t>
      </w:r>
      <w:r>
        <w:rPr>
          <w:rFonts w:hint="eastAsia" w:ascii="宋体" w:hAnsi="宋体"/>
          <w:color w:val="000000"/>
          <w:sz w:val="28"/>
          <w:szCs w:val="28"/>
          <w:lang w:eastAsia="zh-CN"/>
        </w:rPr>
        <w:t>五</w:t>
      </w:r>
      <w:r>
        <w:rPr>
          <w:rFonts w:hint="eastAsia" w:ascii="宋体" w:hAnsi="宋体"/>
          <w:color w:val="000000"/>
          <w:sz w:val="28"/>
          <w:szCs w:val="28"/>
        </w:rPr>
        <w:t>月</w:t>
      </w:r>
    </w:p>
    <w:p>
      <w:pPr>
        <w:jc w:val="center"/>
        <w:rPr>
          <w:rFonts w:ascii="宋体" w:hAnsi="宋体"/>
          <w:color w:val="000000"/>
          <w:sz w:val="44"/>
          <w:szCs w:val="44"/>
        </w:rPr>
      </w:pPr>
      <w:r>
        <w:rPr>
          <w:color w:val="000000"/>
        </w:rPr>
        <w:br w:type="page"/>
      </w:r>
      <w:bookmarkStart w:id="0" w:name="OLE_LINK2"/>
      <w:bookmarkStart w:id="1" w:name="OLE_LINK1"/>
      <w:bookmarkStart w:id="2" w:name="OLE_LINK4"/>
      <w:r>
        <w:rPr>
          <w:rFonts w:hint="eastAsia" w:ascii="宋体" w:hAnsi="宋体"/>
          <w:color w:val="000000"/>
          <w:sz w:val="44"/>
          <w:szCs w:val="44"/>
        </w:rPr>
        <w:t>六安市中医院消毒供应中心新增设备</w:t>
      </w:r>
    </w:p>
    <w:p>
      <w:pPr>
        <w:jc w:val="center"/>
        <w:rPr>
          <w:rFonts w:ascii="宋体" w:hAnsi="宋体"/>
          <w:b/>
          <w:bCs/>
          <w:sz w:val="28"/>
          <w:szCs w:val="32"/>
        </w:rPr>
      </w:pPr>
      <w:r>
        <w:rPr>
          <w:rFonts w:hint="eastAsia" w:ascii="宋体" w:hAnsi="宋体"/>
          <w:color w:val="000000"/>
          <w:sz w:val="44"/>
          <w:szCs w:val="44"/>
        </w:rPr>
        <w:t>改造工程</w:t>
      </w:r>
      <w:r>
        <w:rPr>
          <w:rFonts w:hint="eastAsia" w:ascii="宋体" w:hAnsi="宋体"/>
          <w:color w:val="000000"/>
          <w:sz w:val="44"/>
          <w:szCs w:val="44"/>
          <w:lang w:eastAsia="zh-CN"/>
        </w:rPr>
        <w:t>（第</w:t>
      </w:r>
      <w:r>
        <w:rPr>
          <w:rFonts w:hint="eastAsia" w:ascii="宋体" w:hAnsi="宋体"/>
          <w:color w:val="000000"/>
          <w:sz w:val="44"/>
          <w:szCs w:val="44"/>
          <w:lang w:val="en-US" w:eastAsia="zh-CN"/>
        </w:rPr>
        <w:t>2次</w:t>
      </w:r>
      <w:r>
        <w:rPr>
          <w:rFonts w:hint="eastAsia" w:ascii="宋体" w:hAnsi="宋体"/>
          <w:color w:val="000000"/>
          <w:sz w:val="44"/>
          <w:szCs w:val="44"/>
          <w:lang w:eastAsia="zh-CN"/>
        </w:rPr>
        <w:t>）发包</w:t>
      </w:r>
      <w:r>
        <w:rPr>
          <w:rFonts w:hint="eastAsia" w:ascii="宋体" w:hAnsi="宋体"/>
          <w:color w:val="000000"/>
          <w:sz w:val="44"/>
          <w:szCs w:val="44"/>
        </w:rPr>
        <w:t>公告</w:t>
      </w:r>
    </w:p>
    <w:p>
      <w:pPr>
        <w:rPr>
          <w:rFonts w:ascii="宋体" w:hAnsi="宋体"/>
          <w:color w:val="000000"/>
          <w:sz w:val="32"/>
          <w:szCs w:val="32"/>
        </w:rPr>
      </w:pPr>
    </w:p>
    <w:p>
      <w:pPr>
        <w:ind w:firstLine="482" w:firstLineChars="200"/>
        <w:rPr>
          <w:rFonts w:ascii="宋体" w:hAnsi="宋体"/>
          <w:b/>
          <w:bCs/>
          <w:sz w:val="28"/>
          <w:szCs w:val="32"/>
        </w:rPr>
      </w:pPr>
      <w:r>
        <w:rPr>
          <w:rFonts w:hint="eastAsia" w:ascii="宋体" w:hAnsi="宋体" w:cs="Arial"/>
          <w:b/>
          <w:bCs/>
          <w:color w:val="000000"/>
          <w:kern w:val="0"/>
          <w:sz w:val="24"/>
        </w:rPr>
        <w:t>一、项目名称：</w:t>
      </w:r>
      <w:r>
        <w:rPr>
          <w:rFonts w:hint="eastAsia" w:ascii="宋体" w:hAnsi="宋体"/>
          <w:sz w:val="24"/>
        </w:rPr>
        <w:t>六安市中医院消毒供应中心新增设备改造工程</w:t>
      </w:r>
      <w:r>
        <w:rPr>
          <w:rFonts w:hint="eastAsia" w:ascii="宋体" w:hAnsi="宋体"/>
          <w:sz w:val="24"/>
          <w:lang w:eastAsia="zh-CN"/>
        </w:rPr>
        <w:t>（第</w:t>
      </w:r>
      <w:r>
        <w:rPr>
          <w:rFonts w:hint="eastAsia" w:ascii="宋体" w:hAnsi="宋体"/>
          <w:sz w:val="24"/>
          <w:lang w:val="en-US" w:eastAsia="zh-CN"/>
        </w:rPr>
        <w:t>2次</w:t>
      </w:r>
      <w:r>
        <w:rPr>
          <w:rFonts w:hint="eastAsia" w:ascii="宋体" w:hAnsi="宋体"/>
          <w:sz w:val="24"/>
          <w:lang w:eastAsia="zh-CN"/>
        </w:rPr>
        <w:t>）</w:t>
      </w:r>
    </w:p>
    <w:p>
      <w:pPr>
        <w:widowControl/>
        <w:spacing w:line="360" w:lineRule="auto"/>
        <w:ind w:firstLine="482"/>
        <w:rPr>
          <w:rFonts w:hint="default" w:ascii="宋体" w:hAnsi="宋体" w:eastAsia="宋体" w:cs="Arial"/>
          <w:b/>
          <w:bCs/>
          <w:color w:val="000000"/>
          <w:kern w:val="0"/>
          <w:sz w:val="24"/>
          <w:lang w:val="en-US" w:eastAsia="zh-CN"/>
        </w:rPr>
      </w:pPr>
      <w:r>
        <w:rPr>
          <w:rFonts w:hint="eastAsia" w:ascii="宋体" w:hAnsi="宋体" w:cs="Arial"/>
          <w:b/>
          <w:bCs/>
          <w:color w:val="000000"/>
          <w:kern w:val="0"/>
          <w:sz w:val="24"/>
        </w:rPr>
        <w:t>二、项目编号：LASZYY-ZBB2021065</w:t>
      </w:r>
      <w:r>
        <w:rPr>
          <w:rFonts w:hint="eastAsia" w:ascii="宋体" w:hAnsi="宋体" w:cs="Arial"/>
          <w:b/>
          <w:bCs/>
          <w:color w:val="000000"/>
          <w:kern w:val="0"/>
          <w:sz w:val="24"/>
          <w:lang w:val="en-US" w:eastAsia="zh-CN"/>
        </w:rPr>
        <w:t>-2</w:t>
      </w:r>
    </w:p>
    <w:p>
      <w:pPr>
        <w:widowControl/>
        <w:spacing w:line="360" w:lineRule="auto"/>
        <w:ind w:firstLine="482"/>
        <w:rPr>
          <w:rFonts w:ascii="宋体" w:hAnsi="宋体" w:cs="Arial"/>
          <w:b/>
          <w:bCs/>
          <w:color w:val="000000"/>
          <w:kern w:val="0"/>
          <w:sz w:val="24"/>
        </w:rPr>
      </w:pPr>
      <w:r>
        <w:rPr>
          <w:rFonts w:hint="eastAsia" w:ascii="宋体" w:hAnsi="宋体" w:cs="Arial"/>
          <w:b/>
          <w:bCs/>
          <w:color w:val="000000"/>
          <w:kern w:val="0"/>
          <w:sz w:val="24"/>
        </w:rPr>
        <w:t>三、工程概况</w:t>
      </w:r>
    </w:p>
    <w:p>
      <w:pPr>
        <w:widowControl/>
        <w:spacing w:line="360" w:lineRule="auto"/>
        <w:ind w:firstLine="482"/>
        <w:rPr>
          <w:rFonts w:ascii="宋体" w:hAnsi="宋体" w:cs="Arial"/>
          <w:bCs/>
          <w:color w:val="000000"/>
          <w:kern w:val="0"/>
          <w:sz w:val="24"/>
        </w:rPr>
      </w:pPr>
      <w:r>
        <w:rPr>
          <w:rFonts w:hint="eastAsia" w:ascii="宋体" w:hAnsi="宋体" w:cs="Arial"/>
          <w:bCs/>
          <w:color w:val="000000"/>
          <w:kern w:val="0"/>
          <w:sz w:val="24"/>
        </w:rPr>
        <w:t>1、工程地点：六安市中医院A座</w:t>
      </w:r>
      <w:r>
        <w:rPr>
          <w:rFonts w:hint="eastAsia" w:ascii="宋体" w:hAnsi="宋体"/>
          <w:sz w:val="24"/>
        </w:rPr>
        <w:t>消毒供应中心</w:t>
      </w:r>
      <w:r>
        <w:rPr>
          <w:rFonts w:hint="eastAsia" w:ascii="宋体" w:hAnsi="宋体" w:cs="Arial"/>
          <w:bCs/>
          <w:color w:val="000000"/>
          <w:kern w:val="0"/>
          <w:sz w:val="24"/>
        </w:rPr>
        <w:t>。</w:t>
      </w:r>
    </w:p>
    <w:p>
      <w:pPr>
        <w:ind w:firstLine="480" w:firstLineChars="200"/>
        <w:jc w:val="left"/>
        <w:rPr>
          <w:rFonts w:ascii="宋体" w:hAnsi="宋体"/>
          <w:sz w:val="24"/>
          <w:szCs w:val="28"/>
        </w:rPr>
      </w:pPr>
      <w:r>
        <w:rPr>
          <w:rFonts w:hint="eastAsia" w:ascii="宋体" w:hAnsi="宋体" w:cs="Arial"/>
          <w:bCs/>
          <w:color w:val="000000"/>
          <w:kern w:val="0"/>
          <w:sz w:val="24"/>
        </w:rPr>
        <w:t>2、工程概况：</w:t>
      </w:r>
      <w:r>
        <w:rPr>
          <w:rFonts w:hint="eastAsia" w:ascii="宋体" w:hAnsi="宋体"/>
          <w:sz w:val="24"/>
          <w:szCs w:val="28"/>
        </w:rPr>
        <w:t>本工程为六安市中医院新增设备配合改造工程，主要包括房屋改造、设备基础楼板加固、设备水电气各种管路管线安装、运输通道建设和恢复等。</w:t>
      </w:r>
    </w:p>
    <w:p>
      <w:pPr>
        <w:widowControl/>
        <w:spacing w:line="360" w:lineRule="auto"/>
        <w:ind w:firstLine="482"/>
        <w:rPr>
          <w:rFonts w:ascii="宋体" w:hAnsi="宋体" w:cs="Arial"/>
          <w:b/>
          <w:bCs/>
          <w:color w:val="000000"/>
          <w:kern w:val="0"/>
          <w:sz w:val="24"/>
        </w:rPr>
      </w:pPr>
      <w:r>
        <w:rPr>
          <w:rFonts w:hint="eastAsia" w:ascii="宋体" w:hAnsi="宋体" w:cs="Arial"/>
          <w:b/>
          <w:bCs/>
          <w:color w:val="000000"/>
          <w:kern w:val="0"/>
          <w:sz w:val="24"/>
        </w:rPr>
        <w:t>四、项目范围</w:t>
      </w:r>
    </w:p>
    <w:p>
      <w:pPr>
        <w:widowControl/>
        <w:spacing w:line="360" w:lineRule="auto"/>
        <w:ind w:firstLine="482"/>
        <w:rPr>
          <w:rFonts w:ascii="宋体" w:hAnsi="宋体" w:cs="Arial"/>
          <w:b/>
          <w:color w:val="000000"/>
          <w:kern w:val="0"/>
          <w:sz w:val="24"/>
        </w:rPr>
      </w:pPr>
      <w:bookmarkStart w:id="3" w:name="_Hlk70427257"/>
      <w:r>
        <w:rPr>
          <w:rFonts w:hint="eastAsia" w:ascii="宋体" w:hAnsi="宋体" w:cs="Arial"/>
          <w:bCs/>
          <w:color w:val="000000"/>
          <w:kern w:val="0"/>
          <w:sz w:val="24"/>
        </w:rPr>
        <w:t>1 、</w:t>
      </w:r>
      <w:r>
        <w:rPr>
          <w:rFonts w:hint="eastAsia" w:ascii="宋体" w:hAnsi="宋体"/>
          <w:sz w:val="24"/>
          <w:szCs w:val="28"/>
        </w:rPr>
        <w:t>本工程为六安市中医院新增设备配合改造工程，主要包括房屋改造、设备基础楼板加固、设备水电气各种管路管线安装、运输通道建设和恢复等。</w:t>
      </w:r>
      <w:r>
        <w:rPr>
          <w:rFonts w:hint="eastAsia" w:ascii="宋体" w:hAnsi="宋体" w:cs="Arial"/>
          <w:bCs/>
          <w:color w:val="000000"/>
          <w:kern w:val="0"/>
          <w:sz w:val="24"/>
        </w:rPr>
        <w:t>具体详见图纸。</w:t>
      </w:r>
      <w:r>
        <w:rPr>
          <w:rFonts w:hint="eastAsia" w:ascii="宋体" w:hAnsi="宋体" w:cs="Arial"/>
          <w:b/>
          <w:color w:val="000000"/>
          <w:kern w:val="0"/>
          <w:sz w:val="24"/>
        </w:rPr>
        <w:t>投标人应仔细勘察现场，谨慎、合理报价。</w:t>
      </w:r>
      <w:r>
        <w:rPr>
          <w:rFonts w:hint="eastAsia" w:ascii="宋体" w:hAnsi="宋体" w:cs="Arial"/>
          <w:bCs/>
          <w:kern w:val="0"/>
          <w:sz w:val="24"/>
        </w:rPr>
        <w:t>本项目为交钥匙工程。</w:t>
      </w:r>
    </w:p>
    <w:p>
      <w:pPr>
        <w:widowControl/>
        <w:spacing w:line="360" w:lineRule="auto"/>
        <w:ind w:firstLine="482"/>
        <w:rPr>
          <w:rFonts w:ascii="宋体" w:hAnsi="宋体" w:cs="Arial"/>
          <w:bCs/>
          <w:color w:val="000000"/>
          <w:kern w:val="0"/>
          <w:sz w:val="24"/>
        </w:rPr>
      </w:pPr>
      <w:r>
        <w:rPr>
          <w:rFonts w:hint="eastAsia" w:ascii="宋体" w:hAnsi="宋体" w:cs="Arial"/>
          <w:bCs/>
          <w:color w:val="000000"/>
          <w:kern w:val="0"/>
          <w:sz w:val="24"/>
        </w:rPr>
        <w:t>2、其余详见比选文件、工程量清单、图纸。</w:t>
      </w:r>
    </w:p>
    <w:p>
      <w:pPr>
        <w:widowControl/>
        <w:spacing w:line="360" w:lineRule="auto"/>
        <w:ind w:firstLine="482"/>
        <w:rPr>
          <w:rFonts w:ascii="宋体" w:hAnsi="宋体" w:cs="Arial"/>
          <w:color w:val="000000"/>
          <w:kern w:val="0"/>
          <w:sz w:val="24"/>
        </w:rPr>
      </w:pPr>
      <w:r>
        <w:rPr>
          <w:rFonts w:hint="eastAsia" w:ascii="宋体" w:hAnsi="宋体" w:cs="Arial"/>
          <w:color w:val="000000"/>
          <w:kern w:val="0"/>
          <w:sz w:val="24"/>
        </w:rPr>
        <w:t>3、本项目比选限价为：</w:t>
      </w:r>
      <w:r>
        <w:rPr>
          <w:rFonts w:hint="eastAsia" w:ascii="宋体" w:hAnsi="宋体" w:cs="Arial"/>
          <w:color w:val="000000"/>
          <w:kern w:val="0"/>
          <w:sz w:val="24"/>
          <w:u w:val="single"/>
        </w:rPr>
        <w:t xml:space="preserve"> ¥</w:t>
      </w:r>
      <w:r>
        <w:rPr>
          <w:rFonts w:ascii="宋体" w:hAnsi="宋体" w:cs="Arial"/>
          <w:color w:val="000000"/>
          <w:kern w:val="0"/>
          <w:sz w:val="24"/>
          <w:u w:val="single"/>
        </w:rPr>
        <w:t>103723. 26</w:t>
      </w:r>
      <w:r>
        <w:rPr>
          <w:rFonts w:hint="eastAsia" w:ascii="宋体" w:hAnsi="宋体" w:cs="Arial"/>
          <w:color w:val="000000"/>
          <w:kern w:val="0"/>
          <w:sz w:val="24"/>
        </w:rPr>
        <w:t>元。</w:t>
      </w:r>
    </w:p>
    <w:bookmarkEnd w:id="3"/>
    <w:p>
      <w:pPr>
        <w:widowControl/>
        <w:spacing w:line="360" w:lineRule="auto"/>
        <w:ind w:firstLine="451"/>
        <w:rPr>
          <w:rFonts w:ascii="宋体" w:hAnsi="宋体" w:cs="Arial"/>
          <w:b/>
          <w:bCs/>
          <w:color w:val="000000"/>
          <w:kern w:val="0"/>
          <w:sz w:val="24"/>
        </w:rPr>
      </w:pPr>
      <w:r>
        <w:rPr>
          <w:rFonts w:hint="eastAsia" w:ascii="宋体" w:hAnsi="宋体" w:cs="Arial"/>
          <w:b/>
          <w:bCs/>
          <w:color w:val="000000"/>
          <w:kern w:val="0"/>
          <w:sz w:val="24"/>
        </w:rPr>
        <w:t>五、中标人资格条件：</w:t>
      </w:r>
    </w:p>
    <w:p>
      <w:pPr>
        <w:widowControl/>
        <w:spacing w:line="360" w:lineRule="auto"/>
        <w:ind w:firstLine="480"/>
        <w:rPr>
          <w:rFonts w:ascii="宋体" w:hAnsi="宋体" w:cs="Arial"/>
          <w:color w:val="000000"/>
          <w:kern w:val="0"/>
          <w:sz w:val="24"/>
        </w:rPr>
      </w:pPr>
      <w:r>
        <w:rPr>
          <w:rFonts w:hint="eastAsia" w:ascii="宋体" w:hAnsi="宋体" w:cs="Arial"/>
          <w:color w:val="000000"/>
          <w:kern w:val="0"/>
          <w:sz w:val="24"/>
        </w:rPr>
        <w:t>1、企业资质：（1）为中国境内依法注册的独立法人，具有有效的法人营业执照； (2) 具有建筑工程施工总承包三级及以上资质或建筑装修装饰工程专业承包资质二级及以上；（3）具有有效的安全生产许可证。</w:t>
      </w:r>
    </w:p>
    <w:p>
      <w:pPr>
        <w:widowControl/>
        <w:spacing w:line="360" w:lineRule="auto"/>
        <w:ind w:firstLine="480"/>
        <w:rPr>
          <w:rFonts w:ascii="宋体" w:hAnsi="宋体" w:cs="Arial"/>
          <w:color w:val="000000"/>
          <w:kern w:val="0"/>
          <w:sz w:val="24"/>
        </w:rPr>
      </w:pPr>
      <w:r>
        <w:rPr>
          <w:rFonts w:hint="eastAsia" w:ascii="宋体" w:hAnsi="宋体" w:cs="Arial"/>
          <w:color w:val="000000"/>
          <w:kern w:val="0"/>
          <w:sz w:val="24"/>
        </w:rPr>
        <w:t>2、项目负责人：（1）须具备</w:t>
      </w:r>
      <w:r>
        <w:rPr>
          <w:rFonts w:ascii="宋体" w:hAnsi="宋体"/>
          <w:sz w:val="24"/>
          <w:szCs w:val="28"/>
        </w:rPr>
        <w:t>机电工程</w:t>
      </w:r>
      <w:r>
        <w:rPr>
          <w:rFonts w:hint="eastAsia" w:ascii="宋体" w:hAnsi="宋体"/>
          <w:sz w:val="24"/>
          <w:szCs w:val="28"/>
        </w:rPr>
        <w:t>或</w:t>
      </w:r>
      <w:r>
        <w:rPr>
          <w:rFonts w:hint="eastAsia" w:ascii="宋体" w:hAnsi="宋体" w:cs="Arial"/>
          <w:color w:val="000000"/>
          <w:kern w:val="0"/>
          <w:sz w:val="24"/>
        </w:rPr>
        <w:t>建筑工程专业二级及以上注册建造师资格；（2）具有有效的安全生产考核合格B证。</w:t>
      </w:r>
    </w:p>
    <w:p>
      <w:pPr>
        <w:widowControl/>
        <w:spacing w:line="360" w:lineRule="auto"/>
        <w:ind w:firstLine="480"/>
        <w:rPr>
          <w:rFonts w:ascii="宋体" w:hAnsi="宋体" w:cs="Arial"/>
          <w:color w:val="000000"/>
          <w:kern w:val="0"/>
          <w:sz w:val="24"/>
        </w:rPr>
      </w:pPr>
      <w:r>
        <w:rPr>
          <w:rFonts w:hint="eastAsia" w:ascii="宋体" w:hAnsi="宋体" w:cs="Arial"/>
          <w:color w:val="000000"/>
          <w:kern w:val="0"/>
          <w:sz w:val="24"/>
        </w:rPr>
        <w:t>3、业绩要求：供应商自2018年1月1日至投标截止日至少具有1个类似公共建筑装饰装修工程业绩且合同金额不少于人民币</w:t>
      </w:r>
      <w:r>
        <w:rPr>
          <w:rFonts w:ascii="宋体" w:hAnsi="宋体" w:cs="Arial"/>
          <w:color w:val="000000"/>
          <w:kern w:val="0"/>
          <w:sz w:val="24"/>
        </w:rPr>
        <w:t>10</w:t>
      </w:r>
      <w:r>
        <w:rPr>
          <w:rFonts w:hint="eastAsia" w:ascii="宋体" w:hAnsi="宋体" w:cs="Arial"/>
          <w:color w:val="000000"/>
          <w:kern w:val="0"/>
          <w:sz w:val="24"/>
        </w:rPr>
        <w:t>万元（同时提供合同及相应的验收资料，以合同签订金额、时间为准）。</w:t>
      </w:r>
    </w:p>
    <w:p>
      <w:pPr>
        <w:widowControl/>
        <w:spacing w:line="360" w:lineRule="auto"/>
        <w:ind w:firstLine="480"/>
        <w:rPr>
          <w:rFonts w:ascii="宋体" w:hAnsi="宋体" w:cs="Arial"/>
          <w:color w:val="000000"/>
          <w:kern w:val="0"/>
          <w:sz w:val="24"/>
        </w:rPr>
      </w:pPr>
      <w:r>
        <w:rPr>
          <w:rFonts w:hint="eastAsia" w:ascii="宋体" w:hAnsi="宋体" w:cs="Arial"/>
          <w:color w:val="000000"/>
          <w:kern w:val="0"/>
          <w:sz w:val="24"/>
        </w:rPr>
        <w:t>注：如所提供业绩为房屋建筑工程（公共建筑），其中包含装饰装修工程部分的金额不少于人民币</w:t>
      </w:r>
      <w:r>
        <w:rPr>
          <w:rFonts w:ascii="宋体" w:hAnsi="宋体" w:cs="Arial"/>
          <w:color w:val="000000"/>
          <w:kern w:val="0"/>
          <w:sz w:val="24"/>
        </w:rPr>
        <w:t>10</w:t>
      </w:r>
      <w:r>
        <w:rPr>
          <w:rFonts w:hint="eastAsia" w:ascii="宋体" w:hAnsi="宋体" w:cs="Arial"/>
          <w:color w:val="000000"/>
          <w:kern w:val="0"/>
          <w:sz w:val="24"/>
        </w:rPr>
        <w:t>万元，予以认可。若合同和验收材料中没有体现有关工程内容，除按招标文件要求提供相关业绩证明材料外，还须提供工程量清单关键页（体现内容和金额）。</w:t>
      </w:r>
    </w:p>
    <w:p>
      <w:pPr>
        <w:widowControl/>
        <w:spacing w:line="360" w:lineRule="auto"/>
        <w:ind w:firstLine="480"/>
        <w:rPr>
          <w:rFonts w:ascii="宋体" w:hAnsi="宋体" w:cs="Arial"/>
          <w:color w:val="000000"/>
          <w:kern w:val="0"/>
          <w:sz w:val="24"/>
        </w:rPr>
      </w:pPr>
      <w:r>
        <w:rPr>
          <w:rFonts w:hint="eastAsia" w:ascii="宋体" w:hAnsi="宋体" w:cs="Arial"/>
          <w:color w:val="000000"/>
          <w:kern w:val="0"/>
          <w:sz w:val="24"/>
        </w:rPr>
        <w:t>4、供应商未被人民法院列入失信被执行人（以开标日当日查询“信用中国”网站www.creditchina.gov.cn的结果为准）；</w:t>
      </w:r>
    </w:p>
    <w:p>
      <w:pPr>
        <w:widowControl/>
        <w:spacing w:line="360" w:lineRule="auto"/>
        <w:ind w:firstLine="480"/>
        <w:rPr>
          <w:rFonts w:ascii="宋体" w:hAnsi="宋体" w:cs="Arial"/>
          <w:color w:val="000000"/>
          <w:kern w:val="0"/>
          <w:sz w:val="24"/>
        </w:rPr>
      </w:pPr>
      <w:r>
        <w:rPr>
          <w:rFonts w:hint="eastAsia" w:ascii="宋体" w:hAnsi="宋体" w:cs="Arial"/>
          <w:color w:val="000000"/>
          <w:kern w:val="0"/>
          <w:sz w:val="24"/>
        </w:rPr>
        <w:t>5、根据六安市住建委、安监局、公管局六建法【2018】80号文件精神，对依据该文件规定记入不良行为记录的单位和人员，在公布期限内，拒绝其参加六安市行政区域内依法必须招标项目的投标。——供应商在响应文件中自行承诺。</w:t>
      </w:r>
    </w:p>
    <w:p>
      <w:pPr>
        <w:widowControl/>
        <w:spacing w:line="360" w:lineRule="auto"/>
        <w:ind w:firstLine="480"/>
        <w:rPr>
          <w:rFonts w:ascii="宋体" w:hAnsi="宋体" w:cs="Arial"/>
          <w:color w:val="000000"/>
          <w:kern w:val="0"/>
          <w:sz w:val="24"/>
        </w:rPr>
      </w:pPr>
      <w:r>
        <w:rPr>
          <w:rFonts w:hint="eastAsia" w:ascii="宋体" w:hAnsi="宋体" w:cs="Arial"/>
          <w:color w:val="000000"/>
          <w:kern w:val="0"/>
          <w:sz w:val="24"/>
        </w:rPr>
        <w:t>6、本公告发布之日前三年，供应商或其法定代表人或拟派项目经理（项目负责人）不存在行贿犯罪情形；——供应商在响应文件中自行承诺。</w:t>
      </w:r>
    </w:p>
    <w:p>
      <w:pPr>
        <w:widowControl/>
        <w:spacing w:line="360" w:lineRule="auto"/>
        <w:ind w:firstLine="480"/>
        <w:rPr>
          <w:rFonts w:ascii="宋体" w:hAnsi="宋体" w:cs="Arial"/>
          <w:color w:val="000000"/>
          <w:kern w:val="0"/>
          <w:sz w:val="24"/>
        </w:rPr>
      </w:pPr>
      <w:r>
        <w:rPr>
          <w:rFonts w:hint="eastAsia" w:ascii="宋体" w:hAnsi="宋体" w:cs="Arial"/>
          <w:b/>
          <w:bCs/>
          <w:color w:val="000000"/>
          <w:kern w:val="0"/>
          <w:sz w:val="24"/>
        </w:rPr>
        <w:t>六、工期：</w:t>
      </w:r>
      <w:r>
        <w:rPr>
          <w:rFonts w:hint="eastAsia" w:ascii="宋体" w:hAnsi="宋体" w:cs="Arial"/>
          <w:color w:val="000000"/>
          <w:kern w:val="0"/>
          <w:sz w:val="24"/>
        </w:rPr>
        <w:t>约1</w:t>
      </w:r>
      <w:r>
        <w:rPr>
          <w:rFonts w:ascii="宋体" w:hAnsi="宋体" w:cs="Arial"/>
          <w:color w:val="000000"/>
          <w:kern w:val="0"/>
          <w:sz w:val="24"/>
        </w:rPr>
        <w:t>5</w:t>
      </w:r>
      <w:r>
        <w:rPr>
          <w:rFonts w:hint="eastAsia" w:ascii="宋体" w:hAnsi="宋体" w:cs="Arial"/>
          <w:color w:val="000000"/>
          <w:kern w:val="0"/>
          <w:sz w:val="24"/>
        </w:rPr>
        <w:t>日历天</w:t>
      </w:r>
    </w:p>
    <w:p>
      <w:pPr>
        <w:widowControl/>
        <w:spacing w:line="360" w:lineRule="auto"/>
        <w:ind w:firstLine="480"/>
        <w:rPr>
          <w:rFonts w:ascii="宋体" w:hAnsi="宋体" w:cs="Arial"/>
          <w:color w:val="000000"/>
          <w:kern w:val="0"/>
          <w:sz w:val="24"/>
        </w:rPr>
      </w:pPr>
      <w:r>
        <w:rPr>
          <w:rFonts w:hint="eastAsia" w:ascii="宋体" w:hAnsi="宋体" w:cs="Arial"/>
          <w:b/>
          <w:bCs/>
          <w:color w:val="000000"/>
          <w:kern w:val="0"/>
          <w:sz w:val="24"/>
        </w:rPr>
        <w:t>七、标包划分：</w:t>
      </w:r>
      <w:r>
        <w:rPr>
          <w:rFonts w:hint="eastAsia" w:ascii="宋体" w:hAnsi="宋体" w:cs="Arial"/>
          <w:color w:val="000000"/>
          <w:kern w:val="0"/>
          <w:sz w:val="24"/>
        </w:rPr>
        <w:t xml:space="preserve"> 1个包</w:t>
      </w:r>
    </w:p>
    <w:p>
      <w:pPr>
        <w:widowControl/>
        <w:spacing w:line="360" w:lineRule="auto"/>
        <w:ind w:firstLine="480"/>
        <w:rPr>
          <w:rFonts w:ascii="宋体" w:hAnsi="宋体" w:cs="Arial"/>
          <w:color w:val="000000"/>
          <w:kern w:val="0"/>
          <w:szCs w:val="21"/>
        </w:rPr>
      </w:pPr>
      <w:r>
        <w:rPr>
          <w:rFonts w:hint="eastAsia" w:ascii="宋体" w:hAnsi="宋体" w:cs="Arial"/>
          <w:b/>
          <w:bCs/>
          <w:color w:val="000000"/>
          <w:kern w:val="0"/>
          <w:sz w:val="24"/>
        </w:rPr>
        <w:t>八、资格审查方式：</w:t>
      </w:r>
      <w:r>
        <w:rPr>
          <w:rFonts w:hint="eastAsia" w:ascii="宋体" w:hAnsi="宋体" w:cs="Arial"/>
          <w:bCs/>
          <w:color w:val="000000"/>
          <w:kern w:val="0"/>
          <w:sz w:val="24"/>
        </w:rPr>
        <w:t>资格后审</w:t>
      </w:r>
    </w:p>
    <w:p>
      <w:pPr>
        <w:widowControl/>
        <w:shd w:val="clear" w:color="auto" w:fill="FFFFFF"/>
        <w:spacing w:line="360" w:lineRule="auto"/>
        <w:ind w:firstLine="482"/>
        <w:jc w:val="left"/>
        <w:rPr>
          <w:rFonts w:ascii="宋体" w:hAnsi="宋体" w:cs="Arial"/>
          <w:color w:val="000000"/>
          <w:kern w:val="0"/>
          <w:szCs w:val="21"/>
        </w:rPr>
      </w:pPr>
      <w:r>
        <w:rPr>
          <w:rFonts w:hint="eastAsia" w:ascii="宋体" w:hAnsi="宋体" w:cs="Arial"/>
          <w:b/>
          <w:bCs/>
          <w:color w:val="000000"/>
          <w:kern w:val="0"/>
          <w:sz w:val="24"/>
        </w:rPr>
        <w:t>九、比选文件的获取：</w:t>
      </w:r>
    </w:p>
    <w:p>
      <w:pPr>
        <w:spacing w:line="360" w:lineRule="auto"/>
        <w:ind w:firstLine="482" w:firstLineChars="200"/>
        <w:rPr>
          <w:rFonts w:ascii="仿宋" w:hAnsi="仿宋" w:eastAsia="仿宋"/>
          <w:b/>
          <w:sz w:val="24"/>
        </w:rPr>
      </w:pPr>
      <w:r>
        <w:rPr>
          <w:rFonts w:hint="eastAsia" w:ascii="仿宋" w:hAnsi="仿宋" w:eastAsia="仿宋"/>
          <w:b/>
          <w:sz w:val="24"/>
        </w:rPr>
        <w:t>免费且有效下载网址：优质采云采购平台（</w:t>
      </w:r>
      <w:r>
        <w:rPr>
          <w:rFonts w:ascii="仿宋" w:hAnsi="仿宋" w:eastAsia="仿宋"/>
          <w:b/>
          <w:sz w:val="24"/>
        </w:rPr>
        <w:t>https://www.youzhicai.com/</w:t>
      </w:r>
      <w:r>
        <w:rPr>
          <w:rFonts w:hint="eastAsia" w:ascii="仿宋" w:hAnsi="仿宋" w:eastAsia="仿宋"/>
          <w:b/>
          <w:sz w:val="24"/>
        </w:rPr>
        <w:t>）</w:t>
      </w:r>
    </w:p>
    <w:p>
      <w:pPr>
        <w:spacing w:line="360" w:lineRule="auto"/>
        <w:ind w:firstLine="482" w:firstLineChars="200"/>
        <w:rPr>
          <w:rFonts w:ascii="仿宋" w:hAnsi="仿宋" w:eastAsia="仿宋"/>
          <w:b/>
          <w:sz w:val="24"/>
        </w:rPr>
      </w:pPr>
      <w:r>
        <w:rPr>
          <w:rFonts w:hint="eastAsia" w:ascii="仿宋" w:hAnsi="仿宋" w:eastAsia="仿宋"/>
          <w:b/>
          <w:sz w:val="24"/>
        </w:rPr>
        <w:t>供应商作为投标主体在优质采云采购平台参与医院项目投标时享有以下权利：</w:t>
      </w:r>
    </w:p>
    <w:p>
      <w:pPr>
        <w:spacing w:line="360" w:lineRule="auto"/>
        <w:ind w:firstLine="480" w:firstLineChars="200"/>
        <w:rPr>
          <w:rFonts w:ascii="宋体" w:hAnsi="宋体" w:cs="Arial"/>
          <w:bCs/>
          <w:color w:val="000000"/>
          <w:kern w:val="0"/>
          <w:sz w:val="24"/>
        </w:rPr>
      </w:pPr>
      <w:r>
        <w:rPr>
          <w:rFonts w:hint="eastAsia" w:ascii="宋体" w:hAnsi="宋体" w:cs="Arial"/>
          <w:bCs/>
          <w:color w:val="000000"/>
          <w:kern w:val="0"/>
          <w:sz w:val="24"/>
        </w:rPr>
        <w:t>（一）免费注册为该平台会员且免年费；</w:t>
      </w:r>
    </w:p>
    <w:p>
      <w:pPr>
        <w:spacing w:line="360" w:lineRule="auto"/>
        <w:ind w:firstLine="480" w:firstLineChars="200"/>
        <w:rPr>
          <w:rFonts w:ascii="宋体" w:hAnsi="宋体" w:cs="Arial"/>
          <w:bCs/>
          <w:color w:val="000000"/>
          <w:kern w:val="0"/>
          <w:sz w:val="24"/>
        </w:rPr>
      </w:pPr>
      <w:r>
        <w:rPr>
          <w:rFonts w:hint="eastAsia" w:ascii="宋体" w:hAnsi="宋体" w:cs="Arial"/>
          <w:bCs/>
          <w:color w:val="000000"/>
          <w:kern w:val="0"/>
          <w:sz w:val="24"/>
        </w:rPr>
        <w:t>（二）无偿且无差别：1、查看医院发布的采购公告，2、下载招标文件，3、完成电子版投标文件报名上传工作；</w:t>
      </w:r>
    </w:p>
    <w:p>
      <w:pPr>
        <w:spacing w:line="360" w:lineRule="auto"/>
        <w:ind w:firstLine="480" w:firstLineChars="200"/>
        <w:rPr>
          <w:rFonts w:ascii="宋体" w:hAnsi="宋体" w:cs="Arial"/>
          <w:bCs/>
          <w:color w:val="000000"/>
          <w:kern w:val="0"/>
          <w:sz w:val="24"/>
        </w:rPr>
      </w:pPr>
      <w:r>
        <w:rPr>
          <w:rFonts w:hint="eastAsia" w:ascii="宋体" w:hAnsi="宋体" w:cs="Arial"/>
          <w:bCs/>
          <w:color w:val="000000"/>
          <w:kern w:val="0"/>
          <w:sz w:val="24"/>
        </w:rPr>
        <w:t>（三）第一中标候选人在公示无异议后仅须向平台一次性缴纳技术服务费300元/项目；</w:t>
      </w:r>
    </w:p>
    <w:p>
      <w:pPr>
        <w:spacing w:line="360" w:lineRule="auto"/>
        <w:ind w:firstLine="480" w:firstLineChars="200"/>
        <w:rPr>
          <w:rFonts w:ascii="宋体" w:hAnsi="宋体" w:cs="Arial"/>
          <w:bCs/>
          <w:color w:val="000000"/>
          <w:kern w:val="0"/>
          <w:sz w:val="24"/>
        </w:rPr>
      </w:pPr>
      <w:r>
        <w:rPr>
          <w:rFonts w:hint="eastAsia" w:ascii="宋体" w:hAnsi="宋体" w:cs="Arial"/>
          <w:bCs/>
          <w:color w:val="000000"/>
          <w:kern w:val="0"/>
          <w:sz w:val="24"/>
        </w:rPr>
        <w:t>（四）上述如有不实之处，请于招标办联系，另：潜在供应商未在优质采平台下载招标文件并线上报名和提交电子版投标文件视同无效投标；</w:t>
      </w:r>
    </w:p>
    <w:p>
      <w:pPr>
        <w:widowControl/>
        <w:spacing w:line="360" w:lineRule="auto"/>
        <w:ind w:firstLine="480"/>
        <w:rPr>
          <w:rFonts w:ascii="宋体" w:hAnsi="宋体" w:cs="Arial"/>
          <w:color w:val="000000"/>
          <w:kern w:val="0"/>
          <w:szCs w:val="21"/>
        </w:rPr>
      </w:pPr>
      <w:r>
        <w:rPr>
          <w:rFonts w:hint="eastAsia" w:ascii="宋体" w:hAnsi="宋体" w:cs="Arial"/>
          <w:b/>
          <w:bCs/>
          <w:color w:val="000000"/>
          <w:kern w:val="0"/>
          <w:sz w:val="24"/>
        </w:rPr>
        <w:t>十、响应文件的递交：</w:t>
      </w:r>
    </w:p>
    <w:p>
      <w:pPr>
        <w:widowControl/>
        <w:shd w:val="clear" w:color="auto" w:fill="FFFFFF"/>
        <w:spacing w:line="360" w:lineRule="auto"/>
        <w:ind w:firstLine="480" w:firstLineChars="200"/>
        <w:jc w:val="left"/>
        <w:rPr>
          <w:rFonts w:ascii="宋体" w:hAnsi="宋体" w:cs="Arial"/>
          <w:bCs/>
          <w:color w:val="000000"/>
          <w:kern w:val="0"/>
          <w:sz w:val="24"/>
        </w:rPr>
      </w:pPr>
      <w:r>
        <w:rPr>
          <w:rFonts w:hint="eastAsia" w:ascii="宋体" w:hAnsi="宋体" w:cs="Arial"/>
          <w:bCs/>
          <w:color w:val="000000"/>
          <w:kern w:val="0"/>
          <w:sz w:val="24"/>
        </w:rPr>
        <w:t>1、供应商首先在优质采平台完成线上报名和提交电子版投标文件，其次将纸质版标书（正本壹份，副本贰份）密封装订现场递交，递交截止（开标）时间:2021年5月1</w:t>
      </w:r>
      <w:r>
        <w:rPr>
          <w:rFonts w:hint="eastAsia" w:ascii="宋体" w:hAnsi="宋体" w:cs="Arial"/>
          <w:bCs/>
          <w:color w:val="000000"/>
          <w:kern w:val="0"/>
          <w:sz w:val="24"/>
          <w:lang w:val="en-US" w:eastAsia="zh-CN"/>
        </w:rPr>
        <w:t>7</w:t>
      </w:r>
      <w:r>
        <w:rPr>
          <w:rFonts w:hint="eastAsia" w:ascii="宋体" w:hAnsi="宋体" w:cs="Arial"/>
          <w:bCs/>
          <w:color w:val="000000"/>
          <w:kern w:val="0"/>
          <w:sz w:val="24"/>
        </w:rPr>
        <w:t>日</w:t>
      </w:r>
      <w:r>
        <w:rPr>
          <w:rFonts w:hint="eastAsia" w:ascii="宋体" w:hAnsi="宋体" w:cs="Arial"/>
          <w:bCs/>
          <w:color w:val="000000"/>
          <w:kern w:val="0"/>
          <w:sz w:val="24"/>
          <w:lang w:val="en-US" w:eastAsia="zh-CN"/>
        </w:rPr>
        <w:t>15</w:t>
      </w:r>
      <w:r>
        <w:rPr>
          <w:rFonts w:hint="eastAsia" w:ascii="宋体" w:hAnsi="宋体" w:cs="Arial"/>
          <w:bCs/>
          <w:color w:val="000000"/>
          <w:kern w:val="0"/>
          <w:sz w:val="24"/>
        </w:rPr>
        <w:t>:00时前。</w:t>
      </w:r>
    </w:p>
    <w:p>
      <w:pPr>
        <w:widowControl/>
        <w:shd w:val="clear" w:color="auto" w:fill="FFFFFF"/>
        <w:spacing w:line="360" w:lineRule="auto"/>
        <w:ind w:firstLine="480" w:firstLineChars="200"/>
        <w:jc w:val="left"/>
        <w:rPr>
          <w:rFonts w:ascii="宋体" w:hAnsi="宋体" w:cs="Arial"/>
          <w:bCs/>
          <w:color w:val="000000"/>
          <w:kern w:val="0"/>
          <w:sz w:val="24"/>
        </w:rPr>
      </w:pPr>
      <w:r>
        <w:rPr>
          <w:rFonts w:hint="eastAsia" w:ascii="宋体" w:hAnsi="宋体" w:cs="Arial"/>
          <w:bCs/>
          <w:color w:val="000000"/>
          <w:kern w:val="0"/>
          <w:sz w:val="24"/>
        </w:rPr>
        <w:t>2、送达地址</w:t>
      </w:r>
    </w:p>
    <w:p>
      <w:pPr>
        <w:widowControl/>
        <w:shd w:val="clear" w:color="auto" w:fill="FFFFFF"/>
        <w:spacing w:line="360" w:lineRule="auto"/>
        <w:ind w:firstLine="480" w:firstLineChars="200"/>
        <w:jc w:val="left"/>
        <w:rPr>
          <w:rFonts w:ascii="宋体" w:hAnsi="宋体" w:cs="Arial"/>
          <w:bCs/>
          <w:color w:val="000000"/>
          <w:kern w:val="0"/>
          <w:sz w:val="24"/>
        </w:rPr>
      </w:pPr>
      <w:r>
        <w:rPr>
          <w:rFonts w:hint="eastAsia" w:ascii="宋体" w:hAnsi="宋体" w:cs="Arial"/>
          <w:bCs/>
          <w:color w:val="000000"/>
          <w:kern w:val="0"/>
          <w:sz w:val="24"/>
        </w:rPr>
        <w:t>开标地址：六安市中医院A座住院部20楼第</w:t>
      </w:r>
      <w:r>
        <w:rPr>
          <w:rFonts w:hint="eastAsia" w:ascii="宋体" w:hAnsi="宋体" w:cs="Arial"/>
          <w:bCs/>
          <w:color w:val="000000"/>
          <w:kern w:val="0"/>
          <w:sz w:val="24"/>
          <w:lang w:val="en-US" w:eastAsia="zh-CN"/>
        </w:rPr>
        <w:t>1</w:t>
      </w:r>
      <w:r>
        <w:rPr>
          <w:rFonts w:hint="eastAsia" w:ascii="宋体" w:hAnsi="宋体" w:cs="Arial"/>
          <w:bCs/>
          <w:color w:val="000000"/>
          <w:kern w:val="0"/>
          <w:sz w:val="24"/>
        </w:rPr>
        <w:t>会议室；</w:t>
      </w:r>
    </w:p>
    <w:p>
      <w:pPr>
        <w:widowControl/>
        <w:shd w:val="clear" w:color="auto" w:fill="FFFFFF"/>
        <w:spacing w:line="360" w:lineRule="auto"/>
        <w:ind w:firstLine="480" w:firstLineChars="200"/>
        <w:jc w:val="left"/>
        <w:rPr>
          <w:rFonts w:ascii="宋体" w:hAnsi="宋体" w:cs="Arial"/>
          <w:bCs/>
          <w:color w:val="000000"/>
          <w:kern w:val="0"/>
          <w:sz w:val="24"/>
        </w:rPr>
      </w:pPr>
      <w:r>
        <w:rPr>
          <w:rFonts w:hint="eastAsia" w:ascii="宋体" w:hAnsi="宋体" w:cs="Arial"/>
          <w:bCs/>
          <w:color w:val="000000"/>
          <w:kern w:val="0"/>
          <w:sz w:val="24"/>
        </w:rPr>
        <w:t>总务科地址：六安市中医院A座住院部19楼东；</w:t>
      </w:r>
    </w:p>
    <w:p>
      <w:pPr>
        <w:spacing w:line="360" w:lineRule="exact"/>
        <w:ind w:firstLine="480" w:firstLineChars="200"/>
        <w:rPr>
          <w:rFonts w:ascii="宋体" w:hAnsi="宋体" w:cs="Arial"/>
          <w:bCs/>
          <w:color w:val="000000"/>
          <w:kern w:val="0"/>
          <w:sz w:val="24"/>
        </w:rPr>
      </w:pPr>
      <w:r>
        <w:rPr>
          <w:rFonts w:hint="eastAsia" w:ascii="宋体" w:hAnsi="宋体" w:cs="Arial"/>
          <w:bCs/>
          <w:color w:val="000000"/>
          <w:kern w:val="0"/>
          <w:sz w:val="24"/>
        </w:rPr>
        <w:t>3、密封袋须注明：投标项目名称、编号、联系人及联系方式。逾期送达的或者未送达指定地点的响应文件，招标人不予受理。</w:t>
      </w:r>
    </w:p>
    <w:p>
      <w:pPr>
        <w:widowControl/>
        <w:spacing w:line="360" w:lineRule="auto"/>
        <w:ind w:firstLine="480"/>
        <w:rPr>
          <w:rFonts w:ascii="宋体" w:hAnsi="宋体" w:cs="Arial"/>
          <w:color w:val="000000"/>
          <w:kern w:val="0"/>
          <w:szCs w:val="21"/>
        </w:rPr>
      </w:pPr>
      <w:r>
        <w:rPr>
          <w:rFonts w:hint="eastAsia" w:ascii="宋体" w:hAnsi="宋体" w:cs="Arial"/>
          <w:b/>
          <w:bCs/>
          <w:color w:val="000000"/>
          <w:kern w:val="0"/>
          <w:sz w:val="24"/>
        </w:rPr>
        <w:t>十一、备注：</w:t>
      </w:r>
    </w:p>
    <w:p>
      <w:pPr>
        <w:widowControl/>
        <w:spacing w:line="360" w:lineRule="auto"/>
        <w:ind w:firstLine="480"/>
        <w:rPr>
          <w:rFonts w:ascii="宋体" w:hAnsi="宋体" w:cs="Arial"/>
          <w:color w:val="000000"/>
          <w:kern w:val="0"/>
          <w:sz w:val="24"/>
        </w:rPr>
      </w:pPr>
      <w:r>
        <w:rPr>
          <w:rFonts w:hint="eastAsia" w:ascii="宋体" w:hAnsi="宋体" w:cs="Arial"/>
          <w:color w:val="000000"/>
          <w:kern w:val="0"/>
          <w:sz w:val="24"/>
        </w:rPr>
        <w:t>1、本项目评审办法为</w:t>
      </w:r>
      <w:r>
        <w:rPr>
          <w:rFonts w:hint="eastAsia" w:ascii="宋体" w:hAnsi="宋体" w:cs="Arial"/>
          <w:b/>
          <w:color w:val="000000"/>
          <w:kern w:val="0"/>
          <w:sz w:val="24"/>
        </w:rPr>
        <w:t>多次报价后执行有效最低价合格制评审法且开标当天不宣布中标结果，潜在投标供应商不认可本评审办法可拒绝投标</w:t>
      </w:r>
      <w:r>
        <w:rPr>
          <w:rFonts w:hint="eastAsia" w:ascii="宋体" w:hAnsi="宋体" w:cs="Arial"/>
          <w:color w:val="000000"/>
          <w:kern w:val="0"/>
          <w:sz w:val="24"/>
        </w:rPr>
        <w:t>。</w:t>
      </w:r>
    </w:p>
    <w:p>
      <w:pPr>
        <w:widowControl/>
        <w:spacing w:line="360" w:lineRule="auto"/>
        <w:ind w:firstLine="480"/>
        <w:rPr>
          <w:rFonts w:ascii="宋体" w:hAnsi="宋体" w:cs="Arial"/>
          <w:bCs/>
          <w:color w:val="FF0000"/>
          <w:kern w:val="0"/>
          <w:sz w:val="24"/>
        </w:rPr>
      </w:pPr>
      <w:r>
        <w:rPr>
          <w:rFonts w:hint="eastAsia" w:ascii="宋体" w:hAnsi="宋体" w:cs="Arial"/>
          <w:b/>
          <w:color w:val="000000"/>
          <w:kern w:val="0"/>
          <w:sz w:val="24"/>
        </w:rPr>
        <w:t>2、本项目无响应保证金制度。</w:t>
      </w:r>
      <w:r>
        <w:rPr>
          <w:rFonts w:ascii="宋体" w:hAnsi="宋体" w:cs="Arial"/>
          <w:bCs/>
          <w:color w:val="FF0000"/>
          <w:kern w:val="0"/>
          <w:sz w:val="24"/>
        </w:rPr>
        <w:tab/>
      </w:r>
    </w:p>
    <w:p>
      <w:pPr>
        <w:widowControl/>
        <w:spacing w:line="360" w:lineRule="auto"/>
        <w:ind w:firstLine="480"/>
        <w:rPr>
          <w:rFonts w:ascii="宋体" w:hAnsi="宋体" w:cs="Arial"/>
          <w:color w:val="000000"/>
          <w:kern w:val="0"/>
          <w:szCs w:val="21"/>
        </w:rPr>
      </w:pPr>
      <w:r>
        <w:rPr>
          <w:rFonts w:hint="eastAsia" w:ascii="宋体" w:hAnsi="宋体" w:cs="Arial"/>
          <w:color w:val="000000"/>
          <w:kern w:val="0"/>
          <w:sz w:val="24"/>
        </w:rPr>
        <w:t>3、供应商的法定代表人或其授权委托代理人必须参加比选会议。</w:t>
      </w:r>
    </w:p>
    <w:p>
      <w:pPr>
        <w:widowControl/>
        <w:spacing w:line="360" w:lineRule="auto"/>
        <w:ind w:firstLine="480"/>
        <w:rPr>
          <w:rFonts w:ascii="宋体" w:hAnsi="宋体" w:cs="Arial"/>
          <w:color w:val="000000"/>
          <w:kern w:val="0"/>
          <w:szCs w:val="21"/>
        </w:rPr>
      </w:pPr>
      <w:r>
        <w:rPr>
          <w:rFonts w:hint="eastAsia" w:ascii="宋体" w:hAnsi="宋体" w:cs="Arial"/>
          <w:b/>
          <w:bCs/>
          <w:color w:val="000000"/>
          <w:kern w:val="0"/>
          <w:sz w:val="24"/>
        </w:rPr>
        <w:t>十二、联系事项：</w:t>
      </w:r>
    </w:p>
    <w:bookmarkEnd w:id="0"/>
    <w:bookmarkEnd w:id="1"/>
    <w:p>
      <w:pPr>
        <w:widowControl/>
        <w:spacing w:line="360" w:lineRule="auto"/>
        <w:ind w:firstLine="480"/>
        <w:rPr>
          <w:rFonts w:ascii="宋体" w:hAnsi="宋体" w:cs="Arial"/>
          <w:color w:val="000000"/>
          <w:kern w:val="0"/>
          <w:szCs w:val="21"/>
        </w:rPr>
      </w:pPr>
      <w:r>
        <w:rPr>
          <w:rFonts w:hint="eastAsia" w:ascii="宋体" w:hAnsi="宋体" w:cs="Arial"/>
          <w:color w:val="000000"/>
          <w:kern w:val="0"/>
          <w:sz w:val="24"/>
        </w:rPr>
        <w:t xml:space="preserve">1、招标人：六安市中医院 </w:t>
      </w:r>
      <w:r>
        <w:rPr>
          <w:rFonts w:ascii="宋体" w:hAnsi="宋体" w:cs="Arial"/>
          <w:color w:val="000000"/>
          <w:kern w:val="0"/>
          <w:sz w:val="24"/>
        </w:rPr>
        <w:t xml:space="preserve">    </w:t>
      </w:r>
      <w:r>
        <w:rPr>
          <w:rFonts w:hint="eastAsia" w:ascii="宋体" w:hAnsi="宋体" w:cs="Arial"/>
          <w:color w:val="000000"/>
          <w:kern w:val="0"/>
          <w:sz w:val="24"/>
        </w:rPr>
        <w:t xml:space="preserve">联系人：夏工、方工 </w:t>
      </w:r>
    </w:p>
    <w:p>
      <w:pPr>
        <w:widowControl/>
        <w:spacing w:line="360" w:lineRule="auto"/>
        <w:ind w:firstLine="720" w:firstLineChars="300"/>
        <w:rPr>
          <w:rFonts w:ascii="宋体" w:hAnsi="宋体" w:cs="Arial"/>
          <w:color w:val="000000"/>
          <w:kern w:val="0"/>
          <w:szCs w:val="21"/>
        </w:rPr>
      </w:pPr>
      <w:r>
        <w:rPr>
          <w:rFonts w:hint="eastAsia" w:ascii="宋体" w:hAnsi="宋体" w:cs="Arial"/>
          <w:color w:val="000000"/>
          <w:kern w:val="0"/>
          <w:sz w:val="24"/>
        </w:rPr>
        <w:t>联系方式： 0</w:t>
      </w:r>
      <w:r>
        <w:rPr>
          <w:rFonts w:ascii="宋体" w:hAnsi="宋体" w:cs="Arial"/>
          <w:color w:val="000000"/>
          <w:kern w:val="0"/>
          <w:sz w:val="24"/>
        </w:rPr>
        <w:t>564</w:t>
      </w:r>
      <w:r>
        <w:rPr>
          <w:rFonts w:hint="eastAsia" w:ascii="宋体" w:hAnsi="宋体" w:cs="Arial"/>
          <w:color w:val="000000"/>
          <w:kern w:val="0"/>
          <w:sz w:val="24"/>
        </w:rPr>
        <w:t>-3597279</w:t>
      </w:r>
    </w:p>
    <w:p>
      <w:pPr>
        <w:widowControl/>
        <w:spacing w:line="360" w:lineRule="auto"/>
        <w:ind w:left="659" w:leftChars="314" w:right="522"/>
        <w:jc w:val="left"/>
        <w:rPr>
          <w:rFonts w:ascii="宋体" w:hAnsi="宋体" w:cs="宋体"/>
          <w:color w:val="000000"/>
          <w:kern w:val="0"/>
          <w:sz w:val="24"/>
        </w:rPr>
      </w:pPr>
      <w:r>
        <w:rPr>
          <w:rFonts w:hint="eastAsia" w:ascii="宋体" w:hAnsi="宋体" w:cs="Arial"/>
          <w:b/>
          <w:bCs/>
          <w:color w:val="000000"/>
          <w:kern w:val="0"/>
          <w:sz w:val="26"/>
          <w:szCs w:val="26"/>
          <w:shd w:val="clear" w:color="auto" w:fill="FFFFFF"/>
        </w:rPr>
        <w:t>备注：本项目在比选过程中，任何异议投诉等事项均由招标人负责处理。</w:t>
      </w:r>
    </w:p>
    <w:p>
      <w:pPr>
        <w:widowControl/>
        <w:spacing w:line="440" w:lineRule="exact"/>
        <w:jc w:val="left"/>
        <w:rPr>
          <w:rFonts w:ascii="宋体" w:hAnsi="宋体" w:cs="宋体"/>
          <w:color w:val="000000"/>
          <w:kern w:val="0"/>
          <w:sz w:val="24"/>
        </w:rPr>
      </w:pPr>
      <w:r>
        <w:rPr>
          <w:rFonts w:ascii="宋体" w:hAnsi="宋体" w:cs="宋体"/>
          <w:color w:val="000000"/>
          <w:kern w:val="0"/>
          <w:sz w:val="24"/>
        </w:rPr>
        <w:br w:type="page"/>
      </w:r>
      <w:bookmarkEnd w:id="2"/>
      <w:r>
        <w:rPr>
          <w:rFonts w:hint="eastAsia" w:ascii="宋体" w:hAnsi="宋体" w:cs="宋体"/>
          <w:color w:val="000000"/>
          <w:kern w:val="0"/>
          <w:sz w:val="24"/>
        </w:rPr>
        <w:t xml:space="preserve">   </w:t>
      </w:r>
    </w:p>
    <w:p>
      <w:pPr>
        <w:spacing w:before="480" w:beforeLines="200" w:after="960" w:afterLines="400" w:line="540" w:lineRule="exact"/>
        <w:jc w:val="center"/>
        <w:rPr>
          <w:rFonts w:ascii="宋体" w:hAnsi="宋体"/>
          <w:b/>
          <w:bCs/>
          <w:color w:val="000000"/>
          <w:sz w:val="36"/>
        </w:rPr>
      </w:pPr>
      <w:r>
        <w:rPr>
          <w:rFonts w:hint="eastAsia" w:ascii="宋体" w:hAnsi="宋体"/>
          <w:b/>
          <w:bCs/>
          <w:color w:val="000000"/>
          <w:sz w:val="36"/>
        </w:rPr>
        <w:t>目    录</w:t>
      </w:r>
    </w:p>
    <w:p>
      <w:pPr>
        <w:spacing w:line="360" w:lineRule="auto"/>
        <w:jc w:val="left"/>
        <w:rPr>
          <w:rFonts w:ascii="宋体" w:hAnsi="宋体"/>
          <w:color w:val="000000"/>
          <w:sz w:val="32"/>
          <w:szCs w:val="32"/>
        </w:rPr>
      </w:pPr>
      <w:r>
        <w:rPr>
          <w:rFonts w:hint="eastAsia" w:ascii="宋体" w:hAnsi="宋体"/>
          <w:color w:val="000000"/>
          <w:sz w:val="32"/>
          <w:szCs w:val="32"/>
        </w:rPr>
        <w:t>比选公告</w:t>
      </w:r>
    </w:p>
    <w:p>
      <w:pPr>
        <w:adjustRightInd w:val="0"/>
        <w:snapToGrid w:val="0"/>
        <w:spacing w:line="360" w:lineRule="auto"/>
        <w:jc w:val="left"/>
        <w:rPr>
          <w:rFonts w:ascii="宋体" w:hAnsi="宋体"/>
          <w:color w:val="000000"/>
          <w:sz w:val="32"/>
          <w:szCs w:val="32"/>
        </w:rPr>
      </w:pPr>
      <w:r>
        <w:rPr>
          <w:rFonts w:hint="eastAsia" w:ascii="宋体" w:hAnsi="宋体"/>
          <w:color w:val="000000"/>
          <w:sz w:val="32"/>
          <w:szCs w:val="32"/>
        </w:rPr>
        <w:t>一、投标须知</w:t>
      </w:r>
    </w:p>
    <w:p>
      <w:pPr>
        <w:adjustRightInd w:val="0"/>
        <w:snapToGrid w:val="0"/>
        <w:spacing w:line="360" w:lineRule="auto"/>
        <w:jc w:val="left"/>
        <w:rPr>
          <w:rFonts w:ascii="宋体" w:hAnsi="宋体"/>
          <w:b/>
          <w:bCs/>
          <w:color w:val="000000"/>
          <w:sz w:val="32"/>
          <w:szCs w:val="32"/>
        </w:rPr>
      </w:pPr>
      <w:r>
        <w:rPr>
          <w:rFonts w:hint="eastAsia" w:ascii="宋体" w:hAnsi="宋体"/>
          <w:color w:val="000000"/>
          <w:sz w:val="32"/>
          <w:szCs w:val="32"/>
        </w:rPr>
        <w:t>二、评审办法</w:t>
      </w:r>
    </w:p>
    <w:p>
      <w:pPr>
        <w:adjustRightInd w:val="0"/>
        <w:snapToGrid w:val="0"/>
        <w:spacing w:line="360" w:lineRule="auto"/>
        <w:jc w:val="left"/>
        <w:rPr>
          <w:rFonts w:ascii="宋体" w:hAnsi="宋体"/>
          <w:color w:val="000000"/>
          <w:sz w:val="32"/>
          <w:szCs w:val="32"/>
        </w:rPr>
      </w:pPr>
      <w:r>
        <w:rPr>
          <w:rFonts w:hint="eastAsia" w:ascii="宋体" w:hAnsi="宋体"/>
          <w:color w:val="000000"/>
          <w:sz w:val="32"/>
          <w:szCs w:val="32"/>
        </w:rPr>
        <w:t>三、技术要求</w:t>
      </w:r>
    </w:p>
    <w:p>
      <w:pPr>
        <w:adjustRightInd w:val="0"/>
        <w:snapToGrid w:val="0"/>
        <w:spacing w:line="360" w:lineRule="auto"/>
        <w:jc w:val="left"/>
        <w:rPr>
          <w:rFonts w:ascii="宋体" w:hAnsi="宋体"/>
          <w:b/>
          <w:bCs/>
          <w:color w:val="000000"/>
          <w:sz w:val="32"/>
          <w:szCs w:val="32"/>
        </w:rPr>
      </w:pPr>
      <w:r>
        <w:rPr>
          <w:rFonts w:hint="eastAsia" w:ascii="宋体" w:hAnsi="宋体"/>
          <w:color w:val="000000"/>
          <w:sz w:val="32"/>
          <w:szCs w:val="32"/>
        </w:rPr>
        <w:t>四、合同条款及格式</w:t>
      </w:r>
    </w:p>
    <w:p>
      <w:pPr>
        <w:adjustRightInd w:val="0"/>
        <w:snapToGrid w:val="0"/>
        <w:spacing w:line="360" w:lineRule="auto"/>
        <w:jc w:val="left"/>
        <w:rPr>
          <w:rFonts w:ascii="宋体" w:hAnsi="宋体"/>
          <w:color w:val="000000"/>
          <w:sz w:val="32"/>
          <w:szCs w:val="32"/>
        </w:rPr>
      </w:pPr>
      <w:r>
        <w:rPr>
          <w:rFonts w:hint="eastAsia" w:ascii="宋体" w:hAnsi="宋体"/>
          <w:color w:val="000000"/>
          <w:sz w:val="32"/>
          <w:szCs w:val="32"/>
        </w:rPr>
        <w:t>五</w:t>
      </w:r>
      <w:r>
        <w:rPr>
          <w:rFonts w:ascii="宋体" w:hAnsi="宋体"/>
          <w:color w:val="000000"/>
          <w:sz w:val="32"/>
          <w:szCs w:val="32"/>
        </w:rPr>
        <w:t>、</w:t>
      </w:r>
      <w:r>
        <w:rPr>
          <w:rFonts w:hint="eastAsia" w:ascii="宋体" w:hAnsi="宋体"/>
          <w:color w:val="000000"/>
          <w:sz w:val="32"/>
          <w:szCs w:val="32"/>
        </w:rPr>
        <w:t>响应文件格式</w:t>
      </w:r>
    </w:p>
    <w:p>
      <w:pPr>
        <w:adjustRightInd w:val="0"/>
        <w:snapToGrid w:val="0"/>
        <w:spacing w:line="360" w:lineRule="auto"/>
        <w:jc w:val="left"/>
        <w:rPr>
          <w:rFonts w:ascii="宋体" w:hAnsi="宋体"/>
          <w:b/>
          <w:bCs/>
          <w:color w:val="000000"/>
          <w:sz w:val="32"/>
          <w:szCs w:val="32"/>
        </w:rPr>
      </w:pPr>
    </w:p>
    <w:p>
      <w:pPr>
        <w:adjustRightInd w:val="0"/>
        <w:snapToGrid w:val="0"/>
        <w:spacing w:before="48" w:beforeLines="20" w:after="48" w:afterLines="20" w:line="540" w:lineRule="exact"/>
        <w:jc w:val="center"/>
        <w:rPr>
          <w:rFonts w:ascii="宋体" w:hAnsi="宋体"/>
          <w:b/>
          <w:bCs/>
          <w:color w:val="000000"/>
          <w:sz w:val="36"/>
        </w:rPr>
      </w:pPr>
    </w:p>
    <w:p>
      <w:pPr>
        <w:adjustRightInd w:val="0"/>
        <w:snapToGrid w:val="0"/>
        <w:spacing w:before="48" w:beforeLines="20" w:after="48" w:afterLines="20" w:line="540" w:lineRule="exact"/>
        <w:jc w:val="center"/>
        <w:rPr>
          <w:rFonts w:ascii="宋体" w:hAnsi="宋体"/>
          <w:b/>
          <w:bCs/>
          <w:color w:val="000000"/>
          <w:sz w:val="36"/>
        </w:rPr>
      </w:pPr>
    </w:p>
    <w:p>
      <w:pPr>
        <w:pStyle w:val="2"/>
        <w:rPr>
          <w:rFonts w:ascii="宋体" w:hAnsi="宋体" w:eastAsia="宋体"/>
          <w:color w:val="000000"/>
        </w:rPr>
      </w:pPr>
      <w:r>
        <w:rPr>
          <w:rFonts w:ascii="宋体" w:hAnsi="宋体" w:eastAsia="宋体"/>
          <w:color w:val="000000"/>
        </w:rPr>
        <w:br w:type="page"/>
      </w:r>
      <w:r>
        <w:rPr>
          <w:rFonts w:hint="eastAsia" w:ascii="宋体" w:hAnsi="宋体" w:eastAsia="宋体"/>
          <w:color w:val="000000"/>
        </w:rPr>
        <w:t>一、投标须知</w:t>
      </w:r>
    </w:p>
    <w:p>
      <w:pPr>
        <w:pStyle w:val="4"/>
        <w:rPr>
          <w:rFonts w:ascii="宋体" w:hAnsi="宋体"/>
          <w:color w:val="000000"/>
        </w:rPr>
      </w:pPr>
      <w:bookmarkStart w:id="4" w:name="_一、投标须知前附表"/>
      <w:bookmarkEnd w:id="4"/>
    </w:p>
    <w:p>
      <w:pPr>
        <w:pStyle w:val="7"/>
        <w:keepNext w:val="0"/>
        <w:keepLines w:val="0"/>
        <w:widowControl w:val="0"/>
        <w:numPr>
          <w:ilvl w:val="0"/>
          <w:numId w:val="2"/>
        </w:numPr>
        <w:tabs>
          <w:tab w:val="left" w:pos="900"/>
          <w:tab w:val="left" w:pos="1080"/>
        </w:tabs>
        <w:adjustRightInd w:val="0"/>
        <w:snapToGrid w:val="0"/>
        <w:spacing w:before="0" w:after="0" w:line="500" w:lineRule="exact"/>
        <w:ind w:left="0" w:firstLine="499"/>
        <w:rPr>
          <w:bCs/>
          <w:color w:val="000000"/>
        </w:rPr>
      </w:pPr>
      <w:r>
        <w:rPr>
          <w:rFonts w:hint="eastAsia"/>
          <w:bCs/>
          <w:color w:val="000000"/>
        </w:rPr>
        <w:t>项目概况</w:t>
      </w:r>
    </w:p>
    <w:p>
      <w:pPr>
        <w:widowControl/>
        <w:spacing w:line="360" w:lineRule="auto"/>
        <w:ind w:firstLine="480" w:firstLineChars="200"/>
        <w:jc w:val="left"/>
        <w:rPr>
          <w:rFonts w:ascii="宋体" w:hAnsi="宋体" w:cs="Arial"/>
          <w:bCs/>
          <w:color w:val="000000"/>
          <w:kern w:val="0"/>
          <w:sz w:val="24"/>
        </w:rPr>
      </w:pPr>
      <w:r>
        <w:rPr>
          <w:rFonts w:hint="eastAsia" w:ascii="宋体" w:hAnsi="宋体"/>
          <w:sz w:val="24"/>
        </w:rPr>
        <w:t>本项目工程内容包含：</w:t>
      </w:r>
      <w:r>
        <w:rPr>
          <w:rFonts w:hint="eastAsia" w:ascii="宋体" w:hAnsi="宋体"/>
          <w:sz w:val="24"/>
          <w:szCs w:val="28"/>
        </w:rPr>
        <w:t>本工程为六安市中医院新增设备配合改造工程，主要包括房屋改造、设备基础楼板加固、设备水电气各种管路管线安装、运输通道建设和恢复等。</w:t>
      </w:r>
      <w:r>
        <w:rPr>
          <w:rFonts w:hint="eastAsia" w:ascii="宋体" w:hAnsi="宋体"/>
          <w:sz w:val="24"/>
        </w:rPr>
        <w:t>具体内容详见施工图纸。</w:t>
      </w:r>
    </w:p>
    <w:p>
      <w:pPr>
        <w:pStyle w:val="7"/>
        <w:keepNext w:val="0"/>
        <w:keepLines w:val="0"/>
        <w:widowControl w:val="0"/>
        <w:numPr>
          <w:ilvl w:val="0"/>
          <w:numId w:val="2"/>
        </w:numPr>
        <w:tabs>
          <w:tab w:val="left" w:pos="900"/>
          <w:tab w:val="left" w:pos="1080"/>
        </w:tabs>
        <w:adjustRightInd w:val="0"/>
        <w:snapToGrid w:val="0"/>
        <w:spacing w:before="0" w:after="0" w:line="500" w:lineRule="exact"/>
        <w:ind w:left="0" w:firstLine="499"/>
        <w:rPr>
          <w:bCs/>
          <w:color w:val="000000"/>
        </w:rPr>
      </w:pPr>
      <w:r>
        <w:rPr>
          <w:rFonts w:hint="eastAsia"/>
          <w:bCs/>
          <w:color w:val="000000"/>
        </w:rPr>
        <w:t>招标人</w:t>
      </w:r>
    </w:p>
    <w:p>
      <w:pPr>
        <w:adjustRightInd w:val="0"/>
        <w:snapToGrid w:val="0"/>
        <w:spacing w:line="500" w:lineRule="exact"/>
        <w:ind w:firstLine="505"/>
        <w:rPr>
          <w:rFonts w:ascii="宋体" w:hAnsi="宋体"/>
          <w:color w:val="000000"/>
          <w:sz w:val="24"/>
        </w:rPr>
      </w:pPr>
      <w:r>
        <w:rPr>
          <w:rFonts w:hint="eastAsia" w:ascii="宋体" w:hAnsi="宋体"/>
          <w:color w:val="000000"/>
          <w:sz w:val="24"/>
        </w:rPr>
        <w:t>招标人：</w:t>
      </w:r>
      <w:r>
        <w:rPr>
          <w:rFonts w:hint="eastAsia" w:ascii="宋体" w:hAnsi="宋体"/>
          <w:color w:val="000000"/>
          <w:sz w:val="24"/>
          <w:u w:val="single"/>
        </w:rPr>
        <w:t xml:space="preserve">六安市中医院 </w:t>
      </w:r>
    </w:p>
    <w:p>
      <w:pPr>
        <w:adjustRightInd w:val="0"/>
        <w:snapToGrid w:val="0"/>
        <w:spacing w:line="500" w:lineRule="exact"/>
        <w:ind w:firstLine="505"/>
        <w:rPr>
          <w:rFonts w:ascii="宋体" w:hAnsi="宋体"/>
          <w:color w:val="000000"/>
          <w:sz w:val="24"/>
        </w:rPr>
      </w:pPr>
      <w:r>
        <w:rPr>
          <w:rFonts w:hint="eastAsia" w:ascii="宋体" w:hAnsi="宋体"/>
          <w:color w:val="000000"/>
          <w:sz w:val="24"/>
        </w:rPr>
        <w:t>电话：</w:t>
      </w:r>
      <w:r>
        <w:rPr>
          <w:rFonts w:hint="eastAsia" w:ascii="宋体" w:hAnsi="宋体"/>
          <w:color w:val="000000"/>
          <w:sz w:val="24"/>
          <w:u w:val="single"/>
        </w:rPr>
        <w:t>0564-</w:t>
      </w:r>
      <w:r>
        <w:rPr>
          <w:rFonts w:ascii="宋体" w:hAnsi="宋体"/>
          <w:color w:val="000000"/>
          <w:sz w:val="24"/>
          <w:u w:val="single"/>
        </w:rPr>
        <w:t>3597279</w:t>
      </w:r>
      <w:r>
        <w:rPr>
          <w:rFonts w:hint="eastAsia" w:ascii="宋体" w:hAnsi="宋体"/>
          <w:color w:val="000000"/>
          <w:sz w:val="24"/>
          <w:u w:val="single"/>
        </w:rPr>
        <w:t xml:space="preserve">  </w:t>
      </w:r>
    </w:p>
    <w:p>
      <w:pPr>
        <w:pStyle w:val="7"/>
        <w:keepNext w:val="0"/>
        <w:keepLines w:val="0"/>
        <w:widowControl w:val="0"/>
        <w:numPr>
          <w:ilvl w:val="0"/>
          <w:numId w:val="2"/>
        </w:numPr>
        <w:tabs>
          <w:tab w:val="left" w:pos="900"/>
          <w:tab w:val="left" w:pos="1080"/>
        </w:tabs>
        <w:adjustRightInd w:val="0"/>
        <w:snapToGrid w:val="0"/>
        <w:spacing w:before="0" w:after="0" w:line="500" w:lineRule="exact"/>
        <w:ind w:left="0" w:firstLine="499"/>
        <w:rPr>
          <w:bCs/>
          <w:color w:val="000000"/>
        </w:rPr>
      </w:pPr>
      <w:r>
        <w:rPr>
          <w:rFonts w:hint="eastAsia"/>
          <w:bCs/>
          <w:color w:val="000000"/>
        </w:rPr>
        <w:t>比选范围、计划工期和质量要求</w:t>
      </w: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3.1 本次比选范围：详见比选公告。</w:t>
      </w: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 xml:space="preserve">3.2本工程的计划工期：约 </w:t>
      </w:r>
      <w:r>
        <w:rPr>
          <w:rFonts w:hint="eastAsia" w:ascii="宋体" w:hAnsi="宋体"/>
          <w:color w:val="FF0000"/>
          <w:sz w:val="24"/>
        </w:rPr>
        <w:t>1</w:t>
      </w:r>
      <w:r>
        <w:rPr>
          <w:rFonts w:ascii="宋体" w:hAnsi="宋体"/>
          <w:color w:val="FF0000"/>
          <w:sz w:val="24"/>
        </w:rPr>
        <w:t>5</w:t>
      </w:r>
      <w:r>
        <w:rPr>
          <w:rFonts w:hint="eastAsia" w:ascii="宋体" w:hAnsi="宋体"/>
          <w:color w:val="000000"/>
          <w:sz w:val="24"/>
        </w:rPr>
        <w:t>日历天。</w:t>
      </w:r>
    </w:p>
    <w:p>
      <w:pPr>
        <w:adjustRightInd w:val="0"/>
        <w:snapToGrid w:val="0"/>
        <w:spacing w:line="500" w:lineRule="exact"/>
        <w:ind w:firstLine="505"/>
        <w:rPr>
          <w:rFonts w:ascii="宋体" w:hAnsi="宋体"/>
          <w:color w:val="000000"/>
          <w:sz w:val="24"/>
        </w:rPr>
      </w:pPr>
      <w:r>
        <w:rPr>
          <w:rFonts w:hint="eastAsia" w:ascii="宋体" w:hAnsi="宋体"/>
          <w:color w:val="000000"/>
          <w:sz w:val="24"/>
        </w:rPr>
        <w:t>3.3 本工程的质量要求：《建筑工程施工质量验收统一标准》合格标准，且须确保最终通过相关部门的检测验收。</w:t>
      </w:r>
    </w:p>
    <w:p>
      <w:pPr>
        <w:ind w:firstLine="480" w:firstLineChars="200"/>
        <w:jc w:val="left"/>
        <w:rPr>
          <w:rFonts w:ascii="宋体" w:hAnsi="宋体"/>
          <w:sz w:val="24"/>
          <w:szCs w:val="28"/>
        </w:rPr>
      </w:pPr>
      <w:r>
        <w:rPr>
          <w:rFonts w:hint="eastAsia" w:ascii="宋体" w:hAnsi="宋体"/>
          <w:color w:val="000000"/>
          <w:sz w:val="24"/>
        </w:rPr>
        <w:t>3.4 本工程质保期为三年。</w:t>
      </w:r>
      <w:r>
        <w:rPr>
          <w:rFonts w:hint="eastAsia" w:ascii="宋体" w:hAnsi="宋体"/>
          <w:sz w:val="24"/>
          <w:szCs w:val="28"/>
        </w:rPr>
        <w:t>验收合格支付至此项总价款的</w:t>
      </w:r>
      <w:r>
        <w:rPr>
          <w:rFonts w:ascii="宋体" w:hAnsi="宋体"/>
          <w:sz w:val="24"/>
          <w:szCs w:val="28"/>
        </w:rPr>
        <w:t>97%，余款作为质保金，质量保修金在工程质量保修期全部结束后无异议并扣除因承包人原因造成的质量问题而由发包人或委托他人进行维修的费用后一个月内无息返还剩余质量保修金。</w:t>
      </w:r>
    </w:p>
    <w:p>
      <w:pPr>
        <w:pStyle w:val="7"/>
        <w:keepNext w:val="0"/>
        <w:keepLines w:val="0"/>
        <w:widowControl w:val="0"/>
        <w:numPr>
          <w:ilvl w:val="0"/>
          <w:numId w:val="2"/>
        </w:numPr>
        <w:tabs>
          <w:tab w:val="left" w:pos="900"/>
          <w:tab w:val="left" w:pos="1080"/>
        </w:tabs>
        <w:adjustRightInd w:val="0"/>
        <w:snapToGrid w:val="0"/>
        <w:spacing w:before="0" w:after="0" w:line="500" w:lineRule="exact"/>
        <w:ind w:left="0" w:firstLine="499"/>
        <w:rPr>
          <w:bCs/>
          <w:color w:val="000000"/>
        </w:rPr>
      </w:pPr>
      <w:r>
        <w:rPr>
          <w:rFonts w:hint="eastAsia"/>
          <w:bCs/>
          <w:color w:val="000000"/>
        </w:rPr>
        <w:t>供应商的资格要求</w:t>
      </w:r>
    </w:p>
    <w:p>
      <w:pPr>
        <w:spacing w:line="400" w:lineRule="exact"/>
        <w:ind w:firstLine="600" w:firstLineChars="250"/>
        <w:rPr>
          <w:rFonts w:ascii="宋体" w:hAnsi="宋体" w:cs="Arial"/>
          <w:color w:val="000000"/>
          <w:kern w:val="0"/>
          <w:sz w:val="24"/>
        </w:rPr>
      </w:pPr>
      <w:r>
        <w:rPr>
          <w:rFonts w:hint="eastAsia" w:ascii="宋体" w:hAnsi="宋体" w:cs="Arial"/>
          <w:color w:val="000000"/>
          <w:kern w:val="0"/>
          <w:sz w:val="24"/>
        </w:rPr>
        <w:t>详见比选公告</w:t>
      </w:r>
    </w:p>
    <w:p>
      <w:pPr>
        <w:pStyle w:val="7"/>
        <w:keepNext w:val="0"/>
        <w:keepLines w:val="0"/>
        <w:widowControl w:val="0"/>
        <w:numPr>
          <w:ilvl w:val="0"/>
          <w:numId w:val="2"/>
        </w:numPr>
        <w:tabs>
          <w:tab w:val="left" w:pos="900"/>
          <w:tab w:val="left" w:pos="1080"/>
        </w:tabs>
        <w:adjustRightInd w:val="0"/>
        <w:snapToGrid w:val="0"/>
        <w:spacing w:before="0" w:after="0" w:line="500" w:lineRule="exact"/>
        <w:ind w:left="0" w:firstLine="499"/>
        <w:rPr>
          <w:bCs/>
          <w:color w:val="000000"/>
        </w:rPr>
      </w:pPr>
      <w:r>
        <w:rPr>
          <w:rFonts w:hint="eastAsia"/>
          <w:bCs/>
          <w:color w:val="000000"/>
        </w:rPr>
        <w:t>语言文字、计量单位</w:t>
      </w:r>
    </w:p>
    <w:p>
      <w:pPr>
        <w:adjustRightInd w:val="0"/>
        <w:snapToGrid w:val="0"/>
        <w:spacing w:line="500" w:lineRule="exact"/>
        <w:ind w:firstLine="505"/>
        <w:rPr>
          <w:rFonts w:ascii="宋体" w:hAnsi="宋体"/>
          <w:color w:val="000000"/>
          <w:sz w:val="24"/>
        </w:rPr>
      </w:pPr>
      <w:r>
        <w:rPr>
          <w:rFonts w:hint="eastAsia" w:ascii="宋体" w:hAnsi="宋体"/>
          <w:color w:val="000000"/>
          <w:sz w:val="24"/>
        </w:rPr>
        <w:t>5.1 除专用术语外，与比选投标有关的语言均使用中文。</w:t>
      </w:r>
    </w:p>
    <w:p>
      <w:pPr>
        <w:adjustRightInd w:val="0"/>
        <w:snapToGrid w:val="0"/>
        <w:spacing w:line="500" w:lineRule="exact"/>
        <w:ind w:firstLine="505"/>
        <w:rPr>
          <w:rFonts w:ascii="宋体" w:hAnsi="宋体"/>
          <w:color w:val="000000"/>
          <w:sz w:val="24"/>
        </w:rPr>
      </w:pPr>
      <w:r>
        <w:rPr>
          <w:rFonts w:hint="eastAsia" w:ascii="宋体" w:hAnsi="宋体"/>
          <w:color w:val="000000"/>
          <w:sz w:val="24"/>
        </w:rPr>
        <w:t>5.2 所有计量均采用中华人民共和国法定计量单位。</w:t>
      </w:r>
    </w:p>
    <w:p>
      <w:pPr>
        <w:pStyle w:val="7"/>
        <w:keepNext w:val="0"/>
        <w:keepLines w:val="0"/>
        <w:widowControl w:val="0"/>
        <w:numPr>
          <w:ilvl w:val="0"/>
          <w:numId w:val="2"/>
        </w:numPr>
        <w:tabs>
          <w:tab w:val="left" w:pos="900"/>
          <w:tab w:val="left" w:pos="1080"/>
        </w:tabs>
        <w:adjustRightInd w:val="0"/>
        <w:snapToGrid w:val="0"/>
        <w:spacing w:before="0" w:after="0" w:line="500" w:lineRule="exact"/>
        <w:ind w:left="0" w:firstLine="499"/>
        <w:rPr>
          <w:bCs/>
          <w:color w:val="000000"/>
        </w:rPr>
      </w:pPr>
      <w:r>
        <w:rPr>
          <w:rFonts w:hint="eastAsia"/>
          <w:bCs/>
          <w:color w:val="000000"/>
        </w:rPr>
        <w:t>合同方式</w:t>
      </w:r>
    </w:p>
    <w:p>
      <w:pPr>
        <w:spacing w:before="120" w:beforeLines="50" w:after="120" w:afterLines="50"/>
        <w:ind w:left="839" w:leftChars="228" w:hanging="360" w:hangingChars="150"/>
        <w:rPr>
          <w:rFonts w:ascii="宋体" w:hAnsi="宋体"/>
          <w:color w:val="000000"/>
          <w:sz w:val="24"/>
        </w:rPr>
      </w:pPr>
      <w:r>
        <w:rPr>
          <w:rFonts w:hint="eastAsia" w:ascii="宋体" w:hAnsi="宋体"/>
          <w:color w:val="000000"/>
          <w:sz w:val="24"/>
        </w:rPr>
        <w:t>本工程合同采用固定总价。（</w:t>
      </w:r>
      <w:r>
        <w:rPr>
          <w:rFonts w:hint="eastAsia" w:ascii="宋体" w:hAnsi="宋体"/>
          <w:color w:val="FF0000"/>
          <w:sz w:val="24"/>
        </w:rPr>
        <w:t>本项目为交钥匙工程</w:t>
      </w:r>
      <w:r>
        <w:rPr>
          <w:rFonts w:hint="eastAsia" w:ascii="宋体" w:hAnsi="宋体"/>
          <w:color w:val="000000"/>
          <w:sz w:val="24"/>
        </w:rPr>
        <w:t>）。</w:t>
      </w:r>
    </w:p>
    <w:p>
      <w:pPr>
        <w:pStyle w:val="7"/>
        <w:keepNext w:val="0"/>
        <w:keepLines w:val="0"/>
        <w:widowControl w:val="0"/>
        <w:numPr>
          <w:ilvl w:val="0"/>
          <w:numId w:val="2"/>
        </w:numPr>
        <w:tabs>
          <w:tab w:val="left" w:pos="900"/>
          <w:tab w:val="left" w:pos="1080"/>
        </w:tabs>
        <w:adjustRightInd w:val="0"/>
        <w:snapToGrid w:val="0"/>
        <w:spacing w:before="0" w:after="0" w:line="500" w:lineRule="exact"/>
        <w:ind w:left="0" w:firstLine="499"/>
        <w:rPr>
          <w:bCs/>
          <w:color w:val="000000"/>
        </w:rPr>
      </w:pPr>
      <w:r>
        <w:rPr>
          <w:rFonts w:hint="eastAsia"/>
          <w:bCs/>
          <w:color w:val="000000"/>
        </w:rPr>
        <w:t>计价方式</w:t>
      </w:r>
    </w:p>
    <w:p>
      <w:pPr>
        <w:adjustRightInd w:val="0"/>
        <w:snapToGrid w:val="0"/>
        <w:spacing w:line="500" w:lineRule="exact"/>
        <w:ind w:firstLine="505"/>
        <w:rPr>
          <w:rFonts w:ascii="宋体" w:hAnsi="宋体"/>
          <w:color w:val="000000"/>
          <w:sz w:val="24"/>
        </w:rPr>
      </w:pPr>
      <w:r>
        <w:rPr>
          <w:rFonts w:hint="eastAsia" w:ascii="宋体" w:hAnsi="宋体"/>
          <w:color w:val="000000"/>
          <w:sz w:val="24"/>
        </w:rPr>
        <w:t>本工程</w:t>
      </w:r>
      <w:r>
        <w:rPr>
          <w:rFonts w:hint="eastAsia" w:ascii="宋体" w:hAnsi="宋体"/>
          <w:sz w:val="24"/>
          <w:szCs w:val="28"/>
        </w:rPr>
        <w:t>采用全费用计价</w:t>
      </w:r>
      <w:r>
        <w:rPr>
          <w:rFonts w:hint="eastAsia" w:ascii="宋体" w:hAnsi="宋体"/>
          <w:color w:val="000000"/>
          <w:sz w:val="24"/>
        </w:rPr>
        <w:t>。</w:t>
      </w:r>
    </w:p>
    <w:p>
      <w:pPr>
        <w:pStyle w:val="7"/>
        <w:keepNext w:val="0"/>
        <w:keepLines w:val="0"/>
        <w:widowControl w:val="0"/>
        <w:numPr>
          <w:ilvl w:val="0"/>
          <w:numId w:val="2"/>
        </w:numPr>
        <w:tabs>
          <w:tab w:val="left" w:pos="900"/>
          <w:tab w:val="left" w:pos="1080"/>
        </w:tabs>
        <w:adjustRightInd w:val="0"/>
        <w:snapToGrid w:val="0"/>
        <w:spacing w:before="0" w:after="0" w:line="500" w:lineRule="exact"/>
        <w:ind w:left="0" w:firstLine="499"/>
        <w:rPr>
          <w:bCs/>
          <w:color w:val="000000"/>
        </w:rPr>
      </w:pPr>
      <w:r>
        <w:rPr>
          <w:rFonts w:hint="eastAsia"/>
          <w:bCs/>
          <w:color w:val="000000"/>
        </w:rPr>
        <w:t>响应有效期</w:t>
      </w:r>
    </w:p>
    <w:p>
      <w:pPr>
        <w:adjustRightInd w:val="0"/>
        <w:snapToGrid w:val="0"/>
        <w:spacing w:line="500" w:lineRule="exact"/>
        <w:ind w:firstLine="505"/>
        <w:rPr>
          <w:rFonts w:ascii="宋体" w:hAnsi="宋体"/>
          <w:color w:val="000000"/>
          <w:sz w:val="24"/>
        </w:rPr>
      </w:pPr>
      <w:r>
        <w:rPr>
          <w:rFonts w:hint="eastAsia" w:ascii="宋体" w:hAnsi="宋体"/>
          <w:color w:val="000000"/>
          <w:sz w:val="24"/>
        </w:rPr>
        <w:t xml:space="preserve">8.1 本工程响应有效期 </w:t>
      </w:r>
      <w:r>
        <w:rPr>
          <w:rFonts w:ascii="宋体" w:hAnsi="宋体"/>
          <w:color w:val="000000"/>
          <w:sz w:val="24"/>
        </w:rPr>
        <w:t>30</w:t>
      </w:r>
      <w:r>
        <w:rPr>
          <w:rFonts w:hint="eastAsia" w:ascii="宋体" w:hAnsi="宋体"/>
          <w:color w:val="000000"/>
          <w:sz w:val="24"/>
        </w:rPr>
        <w:t xml:space="preserve"> 日历天。</w:t>
      </w:r>
    </w:p>
    <w:p>
      <w:pPr>
        <w:adjustRightInd w:val="0"/>
        <w:snapToGrid w:val="0"/>
        <w:spacing w:line="500" w:lineRule="exact"/>
        <w:ind w:firstLine="505"/>
        <w:rPr>
          <w:rFonts w:ascii="宋体" w:hAnsi="宋体"/>
          <w:color w:val="000000"/>
          <w:sz w:val="24"/>
        </w:rPr>
      </w:pPr>
      <w:r>
        <w:rPr>
          <w:rFonts w:hint="eastAsia" w:ascii="宋体" w:hAnsi="宋体"/>
          <w:color w:val="000000"/>
          <w:sz w:val="24"/>
        </w:rPr>
        <w:t xml:space="preserve">8.2 在响应有效期内，供应商不得要求撤销或修改其响应文件。 </w:t>
      </w:r>
    </w:p>
    <w:p>
      <w:pPr>
        <w:adjustRightInd w:val="0"/>
        <w:snapToGrid w:val="0"/>
        <w:spacing w:line="500" w:lineRule="exact"/>
        <w:ind w:firstLine="505"/>
        <w:rPr>
          <w:rFonts w:ascii="宋体" w:hAnsi="宋体"/>
          <w:sz w:val="24"/>
        </w:rPr>
      </w:pPr>
      <w:r>
        <w:rPr>
          <w:rFonts w:hint="eastAsia" w:ascii="宋体" w:hAnsi="宋体"/>
          <w:color w:val="000000"/>
          <w:sz w:val="24"/>
        </w:rPr>
        <w:t>8.3 出现特殊情况需要延长响应有效期的，招标人以书面形式通知所有供应商延长响应有效期。供应商同意延长的，应相应延长其响应保证金的有效期，但不得要求或被允许修改或撤销其响应文件；</w:t>
      </w:r>
      <w:r>
        <w:rPr>
          <w:rFonts w:hint="eastAsia" w:ascii="宋体" w:hAnsi="宋体"/>
          <w:sz w:val="24"/>
        </w:rPr>
        <w:t>供应商拒绝延长的，其投标失效，但供应商有权收回其响应保证金。</w:t>
      </w:r>
    </w:p>
    <w:p>
      <w:pPr>
        <w:pStyle w:val="7"/>
        <w:keepNext w:val="0"/>
        <w:keepLines w:val="0"/>
        <w:widowControl w:val="0"/>
        <w:numPr>
          <w:ilvl w:val="0"/>
          <w:numId w:val="2"/>
        </w:numPr>
        <w:tabs>
          <w:tab w:val="left" w:pos="1080"/>
        </w:tabs>
        <w:adjustRightInd w:val="0"/>
        <w:snapToGrid w:val="0"/>
        <w:spacing w:before="0" w:after="0" w:line="500" w:lineRule="exact"/>
        <w:ind w:left="0" w:firstLine="499"/>
        <w:rPr>
          <w:bCs/>
        </w:rPr>
      </w:pPr>
      <w:r>
        <w:rPr>
          <w:rFonts w:hint="eastAsia"/>
          <w:bCs/>
        </w:rPr>
        <w:t>投标担保</w:t>
      </w:r>
    </w:p>
    <w:p>
      <w:pPr>
        <w:adjustRightInd w:val="0"/>
        <w:snapToGrid w:val="0"/>
        <w:spacing w:line="500" w:lineRule="exact"/>
        <w:ind w:firstLine="505"/>
        <w:rPr>
          <w:rFonts w:ascii="宋体" w:hAnsi="宋体"/>
          <w:sz w:val="24"/>
        </w:rPr>
      </w:pPr>
      <w:r>
        <w:rPr>
          <w:rFonts w:hint="eastAsia" w:ascii="宋体" w:hAnsi="宋体"/>
          <w:sz w:val="24"/>
        </w:rPr>
        <w:t>9</w:t>
      </w:r>
      <w:r>
        <w:rPr>
          <w:rFonts w:ascii="宋体" w:hAnsi="宋体"/>
          <w:sz w:val="24"/>
        </w:rPr>
        <w:t>.1</w:t>
      </w:r>
      <w:r>
        <w:rPr>
          <w:rFonts w:hint="eastAsia" w:ascii="宋体" w:hAnsi="宋体"/>
          <w:sz w:val="24"/>
        </w:rPr>
        <w:t>供应商在领取比选文件的同时，应按比选文件投标须知第9.2条的规定递交响应保证金。</w:t>
      </w:r>
    </w:p>
    <w:p>
      <w:pPr>
        <w:adjustRightInd w:val="0"/>
        <w:snapToGrid w:val="0"/>
        <w:spacing w:line="500" w:lineRule="exact"/>
        <w:ind w:firstLine="505"/>
        <w:rPr>
          <w:rFonts w:ascii="宋体" w:hAnsi="宋体"/>
          <w:sz w:val="24"/>
        </w:rPr>
      </w:pPr>
      <w:r>
        <w:rPr>
          <w:rFonts w:hint="eastAsia" w:ascii="宋体" w:hAnsi="宋体"/>
          <w:sz w:val="24"/>
        </w:rPr>
        <w:t>9.2响应保证金的递交和退还方式</w:t>
      </w:r>
    </w:p>
    <w:p>
      <w:pPr>
        <w:adjustRightInd w:val="0"/>
        <w:snapToGrid w:val="0"/>
        <w:spacing w:line="500" w:lineRule="exact"/>
        <w:ind w:firstLine="505"/>
        <w:rPr>
          <w:rFonts w:ascii="宋体" w:hAnsi="宋体"/>
          <w:bCs/>
          <w:kern w:val="0"/>
          <w:sz w:val="24"/>
        </w:rPr>
      </w:pPr>
      <w:r>
        <w:rPr>
          <w:rFonts w:hint="eastAsia" w:ascii="宋体" w:hAnsi="宋体"/>
          <w:bCs/>
          <w:kern w:val="0"/>
          <w:sz w:val="24"/>
        </w:rPr>
        <w:t>响应保证金的金额：</w:t>
      </w:r>
    </w:p>
    <w:p>
      <w:pPr>
        <w:adjustRightInd w:val="0"/>
        <w:snapToGrid w:val="0"/>
        <w:spacing w:line="500" w:lineRule="exact"/>
        <w:ind w:firstLine="505"/>
        <w:rPr>
          <w:rFonts w:ascii="宋体" w:hAnsi="宋体"/>
          <w:bCs/>
          <w:kern w:val="0"/>
          <w:sz w:val="24"/>
        </w:rPr>
      </w:pPr>
      <w:r>
        <w:rPr>
          <w:rFonts w:hint="eastAsia" w:ascii="宋体" w:hAnsi="宋体"/>
          <w:bCs/>
          <w:kern w:val="0"/>
          <w:sz w:val="24"/>
        </w:rPr>
        <w:t>人民币：</w:t>
      </w:r>
      <w:r>
        <w:rPr>
          <w:rFonts w:ascii="宋体" w:hAnsi="宋体"/>
          <w:bCs/>
          <w:kern w:val="0"/>
          <w:sz w:val="24"/>
        </w:rPr>
        <w:t>0</w:t>
      </w:r>
      <w:r>
        <w:rPr>
          <w:rFonts w:hint="eastAsia" w:ascii="宋体" w:hAnsi="宋体"/>
          <w:bCs/>
          <w:kern w:val="0"/>
          <w:sz w:val="24"/>
        </w:rPr>
        <w:t>元；</w:t>
      </w:r>
    </w:p>
    <w:p>
      <w:pPr>
        <w:adjustRightInd w:val="0"/>
        <w:snapToGrid w:val="0"/>
        <w:spacing w:line="500" w:lineRule="exact"/>
        <w:ind w:firstLine="505"/>
        <w:rPr>
          <w:rFonts w:ascii="宋体" w:hAnsi="宋体"/>
          <w:bCs/>
          <w:kern w:val="0"/>
          <w:sz w:val="24"/>
        </w:rPr>
      </w:pPr>
      <w:r>
        <w:rPr>
          <w:rFonts w:hint="eastAsia" w:ascii="宋体" w:hAnsi="宋体"/>
          <w:bCs/>
          <w:kern w:val="0"/>
          <w:sz w:val="24"/>
        </w:rPr>
        <w:t>本项目响应保证金须在投标截止时间前从投标单位基本账户转入并到达招标代理机构以下账户，否则视为无效投标。</w:t>
      </w:r>
    </w:p>
    <w:p>
      <w:pPr>
        <w:adjustRightInd w:val="0"/>
        <w:snapToGrid w:val="0"/>
        <w:spacing w:line="500" w:lineRule="exact"/>
        <w:ind w:firstLine="505"/>
        <w:rPr>
          <w:rFonts w:ascii="宋体" w:hAnsi="宋体"/>
          <w:bCs/>
          <w:kern w:val="0"/>
          <w:sz w:val="24"/>
        </w:rPr>
      </w:pPr>
      <w:r>
        <w:rPr>
          <w:rFonts w:hint="eastAsia" w:ascii="宋体" w:hAnsi="宋体"/>
          <w:bCs/>
          <w:kern w:val="0"/>
          <w:sz w:val="24"/>
        </w:rPr>
        <w:t>接收响应保证金的账户信息:无</w:t>
      </w:r>
    </w:p>
    <w:p>
      <w:pPr>
        <w:adjustRightInd w:val="0"/>
        <w:snapToGrid w:val="0"/>
        <w:spacing w:line="500" w:lineRule="exact"/>
        <w:ind w:firstLine="505"/>
        <w:rPr>
          <w:rFonts w:ascii="宋体" w:hAnsi="宋体"/>
          <w:sz w:val="24"/>
        </w:rPr>
      </w:pPr>
      <w:r>
        <w:rPr>
          <w:rFonts w:hint="eastAsia" w:ascii="宋体" w:hAnsi="宋体"/>
          <w:sz w:val="24"/>
        </w:rPr>
        <w:t>9.3 供应商未按上述第9.2条款的要求提交响应保证金的，其响应文件作废标处理。</w:t>
      </w:r>
    </w:p>
    <w:p>
      <w:pPr>
        <w:adjustRightInd w:val="0"/>
        <w:snapToGrid w:val="0"/>
        <w:spacing w:line="500" w:lineRule="exact"/>
        <w:ind w:firstLine="505"/>
        <w:rPr>
          <w:rFonts w:ascii="宋体" w:hAnsi="宋体"/>
          <w:sz w:val="24"/>
        </w:rPr>
      </w:pPr>
      <w:r>
        <w:rPr>
          <w:rFonts w:hint="eastAsia" w:ascii="宋体" w:hAnsi="宋体"/>
          <w:sz w:val="24"/>
        </w:rPr>
        <w:t>9.4响应保证金是为了保证招标人免遭因供应商的不当行为而蒙受的损失。招标人在因供应商的不当行为利益受到损害时，可根据9.5条的规定不予退还供应商的响应保证金。</w:t>
      </w:r>
    </w:p>
    <w:p>
      <w:pPr>
        <w:adjustRightInd w:val="0"/>
        <w:snapToGrid w:val="0"/>
        <w:spacing w:line="500" w:lineRule="exact"/>
        <w:ind w:firstLine="505"/>
        <w:rPr>
          <w:rFonts w:ascii="宋体" w:hAnsi="宋体"/>
          <w:sz w:val="24"/>
        </w:rPr>
      </w:pPr>
      <w:r>
        <w:rPr>
          <w:rFonts w:hint="eastAsia" w:ascii="宋体" w:hAnsi="宋体"/>
          <w:sz w:val="24"/>
        </w:rPr>
        <w:t>9.5下列任何情况发生时，响应保证金将被不予退还：</w:t>
      </w:r>
    </w:p>
    <w:p>
      <w:pPr>
        <w:adjustRightInd w:val="0"/>
        <w:snapToGrid w:val="0"/>
        <w:spacing w:line="500" w:lineRule="exact"/>
        <w:ind w:firstLine="505"/>
        <w:rPr>
          <w:rFonts w:ascii="宋体" w:hAnsi="宋体"/>
          <w:sz w:val="24"/>
        </w:rPr>
      </w:pPr>
      <w:r>
        <w:rPr>
          <w:rFonts w:hint="eastAsia" w:ascii="宋体" w:hAnsi="宋体"/>
          <w:sz w:val="24"/>
        </w:rPr>
        <w:t>9.5.1供应商在比选文件规定的响应有效期内撤销投标；</w:t>
      </w:r>
    </w:p>
    <w:p>
      <w:pPr>
        <w:adjustRightInd w:val="0"/>
        <w:snapToGrid w:val="0"/>
        <w:spacing w:line="500" w:lineRule="exact"/>
        <w:ind w:firstLine="505"/>
        <w:rPr>
          <w:rFonts w:ascii="宋体" w:hAnsi="宋体"/>
          <w:sz w:val="24"/>
        </w:rPr>
      </w:pPr>
      <w:r>
        <w:rPr>
          <w:rFonts w:hint="eastAsia" w:ascii="宋体" w:hAnsi="宋体"/>
          <w:sz w:val="24"/>
        </w:rPr>
        <w:t>9.5.2中标后不按规定签订合同；</w:t>
      </w:r>
    </w:p>
    <w:p>
      <w:pPr>
        <w:adjustRightInd w:val="0"/>
        <w:snapToGrid w:val="0"/>
        <w:spacing w:line="500" w:lineRule="exact"/>
        <w:ind w:firstLine="505"/>
        <w:rPr>
          <w:rFonts w:ascii="宋体" w:hAnsi="宋体"/>
          <w:sz w:val="24"/>
        </w:rPr>
      </w:pPr>
      <w:r>
        <w:rPr>
          <w:rFonts w:hint="eastAsia" w:ascii="宋体" w:hAnsi="宋体"/>
          <w:sz w:val="24"/>
        </w:rPr>
        <w:t>9.5.3在投标过程中有围标、串标等违法违规行为被查处的。</w:t>
      </w:r>
    </w:p>
    <w:p>
      <w:pPr>
        <w:adjustRightInd w:val="0"/>
        <w:snapToGrid w:val="0"/>
        <w:spacing w:line="500" w:lineRule="exact"/>
        <w:ind w:firstLine="505"/>
        <w:rPr>
          <w:rFonts w:ascii="宋体" w:hAnsi="宋体"/>
          <w:sz w:val="24"/>
        </w:rPr>
      </w:pPr>
      <w:r>
        <w:rPr>
          <w:rFonts w:hint="eastAsia" w:ascii="宋体" w:hAnsi="宋体"/>
          <w:sz w:val="24"/>
        </w:rPr>
        <w:t>9.5.4成交人不能在规定时间内提交履约保证金的。</w:t>
      </w:r>
    </w:p>
    <w:p>
      <w:pPr>
        <w:adjustRightInd w:val="0"/>
        <w:snapToGrid w:val="0"/>
        <w:spacing w:line="500" w:lineRule="exact"/>
        <w:ind w:firstLine="505"/>
        <w:rPr>
          <w:rFonts w:ascii="宋体" w:hAnsi="宋体"/>
          <w:sz w:val="24"/>
        </w:rPr>
      </w:pPr>
      <w:r>
        <w:rPr>
          <w:rFonts w:hint="eastAsia" w:ascii="宋体" w:hAnsi="宋体"/>
          <w:sz w:val="24"/>
        </w:rPr>
        <w:t>9.5.5中标单位放弃中标资格的。</w:t>
      </w:r>
    </w:p>
    <w:p>
      <w:pPr>
        <w:pStyle w:val="7"/>
        <w:keepNext w:val="0"/>
        <w:keepLines w:val="0"/>
        <w:widowControl w:val="0"/>
        <w:numPr>
          <w:ilvl w:val="0"/>
          <w:numId w:val="2"/>
        </w:numPr>
        <w:tabs>
          <w:tab w:val="left" w:pos="1080"/>
        </w:tabs>
        <w:adjustRightInd w:val="0"/>
        <w:snapToGrid w:val="0"/>
        <w:spacing w:before="0" w:after="0" w:line="500" w:lineRule="exact"/>
        <w:ind w:left="0" w:firstLine="499"/>
        <w:rPr>
          <w:bCs/>
          <w:color w:val="000000"/>
        </w:rPr>
      </w:pPr>
      <w:r>
        <w:rPr>
          <w:rFonts w:hint="eastAsia"/>
          <w:bCs/>
          <w:color w:val="000000"/>
        </w:rPr>
        <w:t>履约保证金</w:t>
      </w:r>
    </w:p>
    <w:p>
      <w:pPr>
        <w:adjustRightInd w:val="0"/>
        <w:snapToGrid w:val="0"/>
        <w:spacing w:line="500" w:lineRule="exact"/>
        <w:ind w:firstLine="505"/>
        <w:rPr>
          <w:rFonts w:ascii="宋体" w:hAnsi="宋体"/>
          <w:sz w:val="24"/>
          <w:highlight w:val="yellow"/>
        </w:rPr>
      </w:pPr>
      <w:r>
        <w:rPr>
          <w:rFonts w:hint="eastAsia" w:ascii="宋体" w:hAnsi="宋体"/>
          <w:sz w:val="24"/>
          <w:highlight w:val="yellow"/>
        </w:rPr>
        <w:t>本项目无</w:t>
      </w:r>
    </w:p>
    <w:p>
      <w:pPr>
        <w:pStyle w:val="7"/>
        <w:keepNext w:val="0"/>
        <w:keepLines w:val="0"/>
        <w:widowControl w:val="0"/>
        <w:numPr>
          <w:ilvl w:val="0"/>
          <w:numId w:val="2"/>
        </w:numPr>
        <w:tabs>
          <w:tab w:val="left" w:pos="1080"/>
        </w:tabs>
        <w:adjustRightInd w:val="0"/>
        <w:snapToGrid w:val="0"/>
        <w:spacing w:before="0" w:after="0" w:line="500" w:lineRule="exact"/>
        <w:ind w:left="0" w:firstLine="499"/>
        <w:rPr>
          <w:bCs/>
          <w:color w:val="000000"/>
        </w:rPr>
      </w:pPr>
      <w:r>
        <w:rPr>
          <w:rFonts w:hint="eastAsia"/>
          <w:bCs/>
          <w:color w:val="000000"/>
        </w:rPr>
        <w:t>踏勘现场</w:t>
      </w:r>
    </w:p>
    <w:p>
      <w:pPr>
        <w:adjustRightInd w:val="0"/>
        <w:snapToGrid w:val="0"/>
        <w:spacing w:line="520" w:lineRule="exact"/>
        <w:ind w:firstLine="502"/>
        <w:rPr>
          <w:rFonts w:ascii="宋体" w:hAnsi="宋体"/>
          <w:color w:val="000000"/>
          <w:sz w:val="24"/>
        </w:rPr>
      </w:pPr>
      <w:r>
        <w:rPr>
          <w:rFonts w:hint="eastAsia" w:ascii="宋体" w:hAnsi="宋体"/>
          <w:color w:val="000000"/>
          <w:sz w:val="24"/>
        </w:rPr>
        <w:t>由投标单位自行组织，所产生的费用自理。</w:t>
      </w:r>
    </w:p>
    <w:p>
      <w:pPr>
        <w:pStyle w:val="7"/>
        <w:keepNext w:val="0"/>
        <w:keepLines w:val="0"/>
        <w:widowControl w:val="0"/>
        <w:numPr>
          <w:ilvl w:val="0"/>
          <w:numId w:val="2"/>
        </w:numPr>
        <w:tabs>
          <w:tab w:val="left" w:pos="1080"/>
        </w:tabs>
        <w:adjustRightInd w:val="0"/>
        <w:snapToGrid w:val="0"/>
        <w:spacing w:before="0" w:after="0" w:line="500" w:lineRule="exact"/>
        <w:ind w:left="0" w:firstLine="499"/>
        <w:rPr>
          <w:bCs/>
          <w:color w:val="000000"/>
        </w:rPr>
      </w:pPr>
      <w:r>
        <w:rPr>
          <w:rFonts w:hint="eastAsia"/>
          <w:bCs/>
          <w:color w:val="000000"/>
        </w:rPr>
        <w:t>投标疑问和澄清</w:t>
      </w: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12.1投标疑问提出截止时间：</w:t>
      </w:r>
      <w:r>
        <w:rPr>
          <w:rFonts w:hint="eastAsia" w:ascii="宋体" w:hAnsi="宋体"/>
          <w:color w:val="FF0000"/>
          <w:sz w:val="24"/>
        </w:rPr>
        <w:t>5月</w:t>
      </w:r>
      <w:r>
        <w:rPr>
          <w:rFonts w:hint="eastAsia" w:ascii="宋体" w:hAnsi="宋体"/>
          <w:color w:val="FF0000"/>
          <w:sz w:val="24"/>
          <w:lang w:val="en-US" w:eastAsia="zh-CN"/>
        </w:rPr>
        <w:t>17</w:t>
      </w:r>
      <w:r>
        <w:rPr>
          <w:rFonts w:hint="eastAsia" w:ascii="宋体" w:hAnsi="宋体"/>
          <w:color w:val="FF0000"/>
          <w:sz w:val="24"/>
        </w:rPr>
        <w:t>日</w:t>
      </w:r>
      <w:r>
        <w:rPr>
          <w:rFonts w:hint="eastAsia" w:ascii="宋体" w:hAnsi="宋体"/>
          <w:color w:val="FF0000"/>
          <w:sz w:val="24"/>
          <w:lang w:val="en-US" w:eastAsia="zh-CN"/>
        </w:rPr>
        <w:t>15</w:t>
      </w:r>
      <w:r>
        <w:rPr>
          <w:rFonts w:hint="eastAsia" w:ascii="宋体" w:hAnsi="宋体"/>
          <w:color w:val="FF0000"/>
          <w:sz w:val="24"/>
        </w:rPr>
        <w:t>：00前（北京时间）</w:t>
      </w: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12.2提出的问题方式：电子版一次性提交至</w:t>
      </w:r>
      <w:r>
        <w:rPr>
          <w:rFonts w:ascii="宋体" w:hAnsi="宋体"/>
          <w:color w:val="000000"/>
          <w:sz w:val="24"/>
        </w:rPr>
        <w:t>zyyzwk2020</w:t>
      </w:r>
      <w:r>
        <w:rPr>
          <w:rFonts w:hint="eastAsia" w:ascii="宋体" w:hAnsi="宋体"/>
          <w:color w:val="000000"/>
          <w:sz w:val="24"/>
        </w:rPr>
        <w:t>@126.com</w:t>
      </w: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12.3投标疑问解答时间：招标人将在收到所有澄清文件后，及时对有必要进行答复的问题在与发布比选公告的同一网站上进行澄清。供应商应及时查询相关澄清回复，不需要确认，但对未及时查询导致的后果由供应商自负。</w:t>
      </w:r>
    </w:p>
    <w:p>
      <w:pPr>
        <w:pStyle w:val="7"/>
        <w:keepNext w:val="0"/>
        <w:keepLines w:val="0"/>
        <w:widowControl w:val="0"/>
        <w:numPr>
          <w:ilvl w:val="0"/>
          <w:numId w:val="2"/>
        </w:numPr>
        <w:tabs>
          <w:tab w:val="left" w:pos="1080"/>
        </w:tabs>
        <w:adjustRightInd w:val="0"/>
        <w:snapToGrid w:val="0"/>
        <w:spacing w:before="0" w:after="0" w:line="500" w:lineRule="exact"/>
        <w:ind w:left="0" w:firstLine="499"/>
        <w:rPr>
          <w:bCs/>
          <w:color w:val="000000"/>
        </w:rPr>
      </w:pPr>
      <w:r>
        <w:rPr>
          <w:rFonts w:hint="eastAsia"/>
          <w:bCs/>
          <w:color w:val="000000"/>
        </w:rPr>
        <w:t>投标报价及工程量清单</w:t>
      </w: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13.1供应商应仔细阅读比选文件，了解拟投标合同段的全部工程内容。供应商的投标价应是比选文件所确定的比选范围内全部工程内容的价格体现（项目质量必须达到国家、行业规范、技术要求的全部验收标准，且通过相关部门的验收），但其投标报价不得低于供应商个别成本价。供应商的投标报价，应是在满足比选文件规定工期、质量要求下，完成本须知比选文件要求和合同条款上所列招标工程范围的全部工作，不得以任何理由予以重复。</w:t>
      </w: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13.2本工程由供应商依据招标人提供的比选文件、澄清文件、补充文件、修改纪要中提出的工程技术、质量、工期、承包范围、工器具、设备及材料清单等要求，参照有关定额、费率标准及省、市现行有关规定，并根据当前建设市场行情，结合工程实际情况及本单位的施工方法、设备、材料来源渠道、施工机械装备、施工管理水平等，对投标费用进行分析、测算，实事求是地确定投标报价（不得低于成本价），任何投标优惠都体现在报价内。招标人不要求供应商采用总价优惠或以总价百分比优惠的方式进行投标报价，其优惠应直接体现在各项投标报价的综合单价中。供应商不得以自有机械闲置、自有材料为由等不计成本地进行投标报价。</w:t>
      </w: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13.3本工程的投标报价采用</w:t>
      </w:r>
      <w:r>
        <w:rPr>
          <w:rFonts w:hint="eastAsia" w:ascii="宋体" w:hAnsi="宋体"/>
          <w:b/>
          <w:bCs/>
          <w:color w:val="000000"/>
          <w:sz w:val="24"/>
        </w:rPr>
        <w:t>全费用综合单价，</w:t>
      </w:r>
      <w:r>
        <w:rPr>
          <w:rFonts w:hint="eastAsia" w:ascii="宋体" w:hAnsi="宋体"/>
          <w:color w:val="000000"/>
          <w:sz w:val="24"/>
        </w:rPr>
        <w:t>除比选文件约定外，在合同履行中不予调整。包括但不限于以下内容，除设计变更之外，合同总价在合同履行期间不因任何因素而调整。</w:t>
      </w: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（1）主要设备、材料价款：为交付至安装现场的落地价（含运输、装车、卸货、税金等，并卸货就位到招标人指定地点），货物包括设备与材料（含损耗）、附件、备品备件、专用工具、技术资料等。</w:t>
      </w: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(2)安装施工费：是指所有设备、材料落地后至交付使用前所发生的，与安装施工相关的人工费、安装辅材及各类损耗、机械费、施工技术措施费、抢工费、规费、税金、管理费、利润、施工现场装卸、现场搬运（含二次搬运）、保管、成品保护、设备的就位吊装、各种调试、自测、自检、验收和施工期间的风险费、政策性文件规定费用等一切费用。</w:t>
      </w: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(3)技术服务费：包括方案设计（含深化设计）工作所涉及的一切费用、报审、培训、测试、检测、验收、现场服务（售前、售中、质保期内的售后）及配合服务等相关服务费用。</w:t>
      </w: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13.4总承包管理服务费及水电费：</w:t>
      </w:r>
      <w:r>
        <w:rPr>
          <w:rFonts w:hint="eastAsia" w:ascii="宋体" w:hAnsi="宋体"/>
          <w:b/>
          <w:bCs/>
          <w:color w:val="000000"/>
          <w:sz w:val="24"/>
        </w:rPr>
        <w:t>本项目不需要</w:t>
      </w:r>
      <w:r>
        <w:rPr>
          <w:rFonts w:hint="eastAsia" w:ascii="宋体" w:hAnsi="宋体"/>
          <w:color w:val="000000"/>
          <w:sz w:val="24"/>
        </w:rPr>
        <w:t>。</w:t>
      </w: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13.5供应商必须负责招标人项目的全过程有关深化设计（如有）、检测、验收以及一切与本项目有关的对接、协调工作，并承担相应费用，确保通过相关部门的验收，否则不予支付相应工程款，履约担保不予退还。</w:t>
      </w: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13.6本项目施工所需的水、电的接入点由供应商在开标前自行踏勘现场并充分考虑确定，投标报价时须充分考虑此部分费用及风险并含在投标报价中。供应商中标后，招标人不再为此承担任何费用及责任。成交人在开工前将水、电接至施工场地范围内，场内临时管线及装表等其它工作费用也由成交人自行承担。</w:t>
      </w: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13.7本招标工程的施工地点为本须知前附表所述，供应商应自行到施工现场踏勘以充分了解工地位置、情况、道路、储存空间、装卸限制及任何其它足以影响投标报价的情况，任何因忽视或误解施工场地情况而导致的索赔或工期延长申请将不被批准。对于受施工现场场地限制，如需要另外寻找场地解决临时住宿、材料及设备堆放，由此所产生的费用应包含在投标报价范围内，招标人不再承担该费用。</w:t>
      </w: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13.8设备、材料供应方式：本工程使用的设备材料，除图纸、比选文件及补充答疑文件明确注明甲供或甲定乙供外，均由承包方采购供应；且须为合格产品，响应文件中同时需按照规定格式注明材料及设备的名称、品牌、生产厂家（产地）等信息，若响应文件中未注明材料及设备的品牌及产地等信息，则表示供应商已经全部按照同类产品中达到国标优等以上标准的材料和设备报价，除比选文件约定可调价格的情况外，无论何种情况出现也不调整综合单价；设备材料采购前，其厂家、规格、型号、质量须报招标人、监理单位认可及批准方可采购，同时设备材料进场也须经招标人、监理方认可后方可使用。如果施工单位采购的设备、材料不符合设计图纸、技术规范、标准及招标人的要求，招标人将有权确定设备材料的品牌、厂家、规格、型号、质量标准，并交由施工单位采购，若招标人确定的设备材料品牌及产品的价格超过投标报价中的价格，则按响应文件中的报价进行结算，若招标人确定的设备材料品牌及产品的价格低于投标报价中的价格，则按招标人确定的品牌价格进行结算，供应商一旦投标视为无条件的同意及执行此项条款的要求，且供应商自行承担相应增加的费用。施工过程中违反前述规定的，视为违约，因此影响工期的总工期不顺延，同时由此造成的其他一切损失由供应商自行承担。由供应商自行采购的材料确定投标报价时应充分考虑材料价格上涨等市场风险因素，中标后不作调整，材料费应包括材料运杂费、采保费及试验检验（含鉴定）费等所有费用。</w:t>
      </w: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13.9本次比选范围的工程，在工程实施过程中，如出现设计变更增减工程量，或招标人取消或暂缓部分工程，或将招标确定由成交人自行采购材料设备变更为招标人供应，成交人需无条件执行招标人的此类指令，同时也不得以“合同履行后可以获得的利益”为由要求赔偿损失。另成交人承包范围的工程，因成交人原因未能按进度计划组织实施，招标人可另行比选给第三方施工，且无需向成交人支付任何费用，如另行比选造成工期延误、造价超过依据成交人的投标报价等其他的损失，全部由成交人承担。招标人提示供应商上述规定对供应商存在的风险和由此而带给供应商的一切损失，请报价时充分考虑。</w:t>
      </w: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13.10供应商的报价不仅应包括比选文件提供的技术条款和图纸（如有）上标明的，还应包括任何未明确标出的，和全套系统安装后保证正常安全运行所不可缺少的配件及附件的全部费用。供应商应参照招标人提供的工程量清单（设备和材料清单）中的项目、规格、数量进行投标报价。</w:t>
      </w: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13.11本项目比选文件所附的资料，均为本项目所具备的现有资料，供应商应根据现有资料进行分析、测算和投标，风险由供应商自行承担。本招标工程不保证最低价一定中标。</w:t>
      </w: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 xml:space="preserve">13.12供应商应及时报送竣工结算材料，且不得谎报、多报。招标人有权对供应商报价但未进行施工的项目进行核减。    </w:t>
      </w: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13.13投标货币：本工程投标报价采用的币种为人民币。</w:t>
      </w: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13.14不可竞争费用</w:t>
      </w: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不可竞争费用包括：</w:t>
      </w: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1）安全文明施工费（见下表）</w:t>
      </w: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建筑工程不可竞争费费率</w:t>
      </w:r>
    </w:p>
    <w:tbl>
      <w:tblPr>
        <w:tblStyle w:val="4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8"/>
        <w:gridCol w:w="2712"/>
        <w:gridCol w:w="2688"/>
        <w:gridCol w:w="15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项目编码</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项目名称</w:t>
            </w:r>
          </w:p>
        </w:tc>
        <w:tc>
          <w:tcPr>
            <w:tcW w:w="268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计费基础</w:t>
            </w:r>
          </w:p>
        </w:tc>
        <w:tc>
          <w:tcPr>
            <w:tcW w:w="1574"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费率（%）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（一）</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安全文明施工费</w:t>
            </w:r>
          </w:p>
        </w:tc>
        <w:tc>
          <w:tcPr>
            <w:tcW w:w="4262" w:type="dxa"/>
            <w:gridSpan w:val="2"/>
          </w:tcPr>
          <w:p>
            <w:pPr>
              <w:widowControl/>
              <w:spacing w:line="440" w:lineRule="exact"/>
              <w:ind w:firstLine="480" w:firstLineChars="200"/>
              <w:jc w:val="left"/>
              <w:rPr>
                <w:rFonts w:ascii="宋体" w:hAnsi="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JF-01</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环境保护费</w:t>
            </w:r>
          </w:p>
        </w:tc>
        <w:tc>
          <w:tcPr>
            <w:tcW w:w="2688" w:type="dxa"/>
            <w:vMerge w:val="restart"/>
            <w:vAlign w:val="center"/>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定额人工费＋定额机械费</w:t>
            </w:r>
          </w:p>
        </w:tc>
        <w:tc>
          <w:tcPr>
            <w:tcW w:w="1574"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JF-02</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文明施工费</w:t>
            </w:r>
          </w:p>
        </w:tc>
        <w:tc>
          <w:tcPr>
            <w:tcW w:w="2688" w:type="dxa"/>
            <w:vMerge w:val="continue"/>
          </w:tcPr>
          <w:p>
            <w:pPr>
              <w:widowControl/>
              <w:spacing w:line="440" w:lineRule="exact"/>
              <w:ind w:firstLine="480" w:firstLineChars="200"/>
              <w:jc w:val="left"/>
              <w:rPr>
                <w:rFonts w:ascii="宋体" w:hAnsi="宋体"/>
                <w:color w:val="000000"/>
                <w:sz w:val="24"/>
              </w:rPr>
            </w:pPr>
          </w:p>
        </w:tc>
        <w:tc>
          <w:tcPr>
            <w:tcW w:w="1574"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JF-03</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安全施工费</w:t>
            </w:r>
          </w:p>
        </w:tc>
        <w:tc>
          <w:tcPr>
            <w:tcW w:w="2688" w:type="dxa"/>
            <w:vMerge w:val="continue"/>
          </w:tcPr>
          <w:p>
            <w:pPr>
              <w:widowControl/>
              <w:spacing w:line="440" w:lineRule="exact"/>
              <w:ind w:firstLine="480" w:firstLineChars="200"/>
              <w:jc w:val="left"/>
              <w:rPr>
                <w:rFonts w:ascii="宋体" w:hAnsi="宋体"/>
                <w:color w:val="000000"/>
                <w:sz w:val="24"/>
              </w:rPr>
            </w:pPr>
          </w:p>
        </w:tc>
        <w:tc>
          <w:tcPr>
            <w:tcW w:w="1574"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JF-04</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临时设施费</w:t>
            </w:r>
          </w:p>
        </w:tc>
        <w:tc>
          <w:tcPr>
            <w:tcW w:w="2688" w:type="dxa"/>
            <w:vMerge w:val="continue"/>
          </w:tcPr>
          <w:p>
            <w:pPr>
              <w:widowControl/>
              <w:spacing w:line="440" w:lineRule="exact"/>
              <w:ind w:firstLine="480" w:firstLineChars="200"/>
              <w:jc w:val="left"/>
              <w:rPr>
                <w:rFonts w:ascii="宋体" w:hAnsi="宋体"/>
                <w:color w:val="000000"/>
                <w:sz w:val="24"/>
              </w:rPr>
            </w:pPr>
          </w:p>
        </w:tc>
        <w:tc>
          <w:tcPr>
            <w:tcW w:w="1574"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（二）</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工程排污费</w:t>
            </w:r>
          </w:p>
        </w:tc>
        <w:tc>
          <w:tcPr>
            <w:tcW w:w="4262" w:type="dxa"/>
            <w:gridSpan w:val="2"/>
          </w:tcPr>
          <w:p>
            <w:pPr>
              <w:widowControl/>
              <w:spacing w:line="440" w:lineRule="exact"/>
              <w:ind w:firstLine="480" w:firstLineChars="200"/>
              <w:jc w:val="left"/>
              <w:rPr>
                <w:rFonts w:ascii="宋体" w:hAnsi="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JF-05</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工程排污费</w:t>
            </w:r>
          </w:p>
        </w:tc>
        <w:tc>
          <w:tcPr>
            <w:tcW w:w="2688" w:type="dxa"/>
          </w:tcPr>
          <w:p>
            <w:pPr>
              <w:widowControl/>
              <w:spacing w:line="440" w:lineRule="exact"/>
              <w:ind w:firstLine="480" w:firstLineChars="200"/>
              <w:jc w:val="left"/>
              <w:rPr>
                <w:rFonts w:ascii="宋体" w:hAnsi="宋体"/>
                <w:color w:val="000000"/>
                <w:sz w:val="24"/>
              </w:rPr>
            </w:pPr>
          </w:p>
        </w:tc>
        <w:tc>
          <w:tcPr>
            <w:tcW w:w="1574" w:type="dxa"/>
          </w:tcPr>
          <w:p>
            <w:pPr>
              <w:widowControl/>
              <w:spacing w:line="440" w:lineRule="exact"/>
              <w:ind w:firstLine="480" w:firstLineChars="200"/>
              <w:jc w:val="left"/>
              <w:rPr>
                <w:rFonts w:ascii="宋体" w:hAnsi="宋体"/>
                <w:color w:val="000000"/>
                <w:sz w:val="24"/>
              </w:rPr>
            </w:pPr>
          </w:p>
        </w:tc>
      </w:tr>
    </w:tbl>
    <w:p>
      <w:pPr>
        <w:widowControl/>
        <w:spacing w:line="440" w:lineRule="exact"/>
        <w:ind w:firstLine="480" w:firstLineChars="200"/>
        <w:jc w:val="left"/>
        <w:rPr>
          <w:rFonts w:ascii="宋体" w:hAnsi="宋体"/>
          <w:color w:val="000000"/>
          <w:sz w:val="24"/>
        </w:rPr>
      </w:pP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装饰装修工程不可竞争费费率</w:t>
      </w:r>
    </w:p>
    <w:tbl>
      <w:tblPr>
        <w:tblStyle w:val="4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8"/>
        <w:gridCol w:w="2712"/>
        <w:gridCol w:w="2688"/>
        <w:gridCol w:w="15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项目编码</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项目名称</w:t>
            </w:r>
          </w:p>
        </w:tc>
        <w:tc>
          <w:tcPr>
            <w:tcW w:w="268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计费基础</w:t>
            </w:r>
          </w:p>
        </w:tc>
        <w:tc>
          <w:tcPr>
            <w:tcW w:w="1574"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费率（%）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（一）</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安全文明施工费</w:t>
            </w:r>
          </w:p>
        </w:tc>
        <w:tc>
          <w:tcPr>
            <w:tcW w:w="4262" w:type="dxa"/>
            <w:gridSpan w:val="2"/>
          </w:tcPr>
          <w:p>
            <w:pPr>
              <w:widowControl/>
              <w:spacing w:line="440" w:lineRule="exact"/>
              <w:ind w:firstLine="480" w:firstLineChars="200"/>
              <w:jc w:val="left"/>
              <w:rPr>
                <w:rFonts w:ascii="宋体" w:hAnsi="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ZF-01</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环境保护费</w:t>
            </w:r>
          </w:p>
        </w:tc>
        <w:tc>
          <w:tcPr>
            <w:tcW w:w="2688" w:type="dxa"/>
            <w:vMerge w:val="restart"/>
            <w:vAlign w:val="center"/>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定额人工费＋定额机械费</w:t>
            </w:r>
          </w:p>
        </w:tc>
        <w:tc>
          <w:tcPr>
            <w:tcW w:w="1574"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ZF-02</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文明施工费</w:t>
            </w:r>
          </w:p>
        </w:tc>
        <w:tc>
          <w:tcPr>
            <w:tcW w:w="2688" w:type="dxa"/>
            <w:vMerge w:val="continue"/>
          </w:tcPr>
          <w:p>
            <w:pPr>
              <w:widowControl/>
              <w:spacing w:line="440" w:lineRule="exact"/>
              <w:ind w:firstLine="480" w:firstLineChars="200"/>
              <w:jc w:val="left"/>
              <w:rPr>
                <w:rFonts w:ascii="宋体" w:hAnsi="宋体"/>
                <w:color w:val="000000"/>
                <w:sz w:val="24"/>
              </w:rPr>
            </w:pPr>
          </w:p>
        </w:tc>
        <w:tc>
          <w:tcPr>
            <w:tcW w:w="1574"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ZF-03</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安全施工费</w:t>
            </w:r>
          </w:p>
        </w:tc>
        <w:tc>
          <w:tcPr>
            <w:tcW w:w="2688" w:type="dxa"/>
            <w:vMerge w:val="continue"/>
          </w:tcPr>
          <w:p>
            <w:pPr>
              <w:widowControl/>
              <w:spacing w:line="440" w:lineRule="exact"/>
              <w:ind w:firstLine="480" w:firstLineChars="200"/>
              <w:jc w:val="left"/>
              <w:rPr>
                <w:rFonts w:ascii="宋体" w:hAnsi="宋体"/>
                <w:color w:val="000000"/>
                <w:sz w:val="24"/>
              </w:rPr>
            </w:pPr>
          </w:p>
        </w:tc>
        <w:tc>
          <w:tcPr>
            <w:tcW w:w="1574"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ZF-04</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临时设施费</w:t>
            </w:r>
          </w:p>
        </w:tc>
        <w:tc>
          <w:tcPr>
            <w:tcW w:w="2688" w:type="dxa"/>
            <w:vMerge w:val="continue"/>
          </w:tcPr>
          <w:p>
            <w:pPr>
              <w:widowControl/>
              <w:spacing w:line="440" w:lineRule="exact"/>
              <w:ind w:firstLine="480" w:firstLineChars="200"/>
              <w:jc w:val="left"/>
              <w:rPr>
                <w:rFonts w:ascii="宋体" w:hAnsi="宋体"/>
                <w:color w:val="000000"/>
                <w:sz w:val="24"/>
              </w:rPr>
            </w:pPr>
          </w:p>
        </w:tc>
        <w:tc>
          <w:tcPr>
            <w:tcW w:w="1574"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（二）</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工程排污费</w:t>
            </w:r>
          </w:p>
        </w:tc>
        <w:tc>
          <w:tcPr>
            <w:tcW w:w="4262" w:type="dxa"/>
            <w:gridSpan w:val="2"/>
          </w:tcPr>
          <w:p>
            <w:pPr>
              <w:widowControl/>
              <w:spacing w:line="440" w:lineRule="exact"/>
              <w:ind w:firstLine="480" w:firstLineChars="200"/>
              <w:jc w:val="left"/>
              <w:rPr>
                <w:rFonts w:ascii="宋体" w:hAnsi="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ZF-05</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工程排污费</w:t>
            </w:r>
          </w:p>
        </w:tc>
        <w:tc>
          <w:tcPr>
            <w:tcW w:w="2688" w:type="dxa"/>
          </w:tcPr>
          <w:p>
            <w:pPr>
              <w:widowControl/>
              <w:spacing w:line="440" w:lineRule="exact"/>
              <w:ind w:firstLine="480" w:firstLineChars="200"/>
              <w:jc w:val="left"/>
              <w:rPr>
                <w:rFonts w:ascii="宋体" w:hAnsi="宋体"/>
                <w:color w:val="000000"/>
                <w:sz w:val="24"/>
              </w:rPr>
            </w:pPr>
          </w:p>
        </w:tc>
        <w:tc>
          <w:tcPr>
            <w:tcW w:w="1574" w:type="dxa"/>
          </w:tcPr>
          <w:p>
            <w:pPr>
              <w:widowControl/>
              <w:spacing w:line="440" w:lineRule="exact"/>
              <w:ind w:firstLine="480" w:firstLineChars="200"/>
              <w:jc w:val="left"/>
              <w:rPr>
                <w:rFonts w:ascii="宋体" w:hAnsi="宋体"/>
                <w:color w:val="000000"/>
                <w:sz w:val="24"/>
              </w:rPr>
            </w:pPr>
          </w:p>
        </w:tc>
      </w:tr>
    </w:tbl>
    <w:p>
      <w:pPr>
        <w:widowControl/>
        <w:spacing w:line="440" w:lineRule="exact"/>
        <w:ind w:firstLine="480" w:firstLineChars="200"/>
        <w:jc w:val="left"/>
        <w:rPr>
          <w:rFonts w:ascii="宋体" w:hAnsi="宋体"/>
          <w:color w:val="000000"/>
          <w:sz w:val="24"/>
        </w:rPr>
      </w:pP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安装工程不可竞争费费率</w:t>
      </w:r>
    </w:p>
    <w:tbl>
      <w:tblPr>
        <w:tblStyle w:val="4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8"/>
        <w:gridCol w:w="2712"/>
        <w:gridCol w:w="2688"/>
        <w:gridCol w:w="15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项目编码</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项目名称</w:t>
            </w:r>
          </w:p>
        </w:tc>
        <w:tc>
          <w:tcPr>
            <w:tcW w:w="268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计费基础</w:t>
            </w:r>
          </w:p>
        </w:tc>
        <w:tc>
          <w:tcPr>
            <w:tcW w:w="1574"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费率（%）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（一）</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安全文明施工费</w:t>
            </w:r>
          </w:p>
        </w:tc>
        <w:tc>
          <w:tcPr>
            <w:tcW w:w="4262" w:type="dxa"/>
            <w:gridSpan w:val="2"/>
          </w:tcPr>
          <w:p>
            <w:pPr>
              <w:widowControl/>
              <w:spacing w:line="440" w:lineRule="exact"/>
              <w:ind w:firstLine="480" w:firstLineChars="200"/>
              <w:jc w:val="left"/>
              <w:rPr>
                <w:rFonts w:ascii="宋体" w:hAnsi="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AF-01</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环境保护费</w:t>
            </w:r>
          </w:p>
        </w:tc>
        <w:tc>
          <w:tcPr>
            <w:tcW w:w="2688" w:type="dxa"/>
            <w:vMerge w:val="restart"/>
            <w:vAlign w:val="center"/>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定额人工费＋定额机械费</w:t>
            </w:r>
          </w:p>
        </w:tc>
        <w:tc>
          <w:tcPr>
            <w:tcW w:w="1574"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AF-02</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文明施工费</w:t>
            </w:r>
          </w:p>
        </w:tc>
        <w:tc>
          <w:tcPr>
            <w:tcW w:w="2688" w:type="dxa"/>
            <w:vMerge w:val="continue"/>
          </w:tcPr>
          <w:p>
            <w:pPr>
              <w:widowControl/>
              <w:spacing w:line="440" w:lineRule="exact"/>
              <w:ind w:firstLine="480" w:firstLineChars="200"/>
              <w:jc w:val="left"/>
              <w:rPr>
                <w:rFonts w:ascii="宋体" w:hAnsi="宋体"/>
                <w:color w:val="000000"/>
                <w:sz w:val="24"/>
              </w:rPr>
            </w:pPr>
          </w:p>
        </w:tc>
        <w:tc>
          <w:tcPr>
            <w:tcW w:w="1574"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AF-03</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安全施工费</w:t>
            </w:r>
          </w:p>
        </w:tc>
        <w:tc>
          <w:tcPr>
            <w:tcW w:w="2688" w:type="dxa"/>
            <w:vMerge w:val="continue"/>
          </w:tcPr>
          <w:p>
            <w:pPr>
              <w:widowControl/>
              <w:spacing w:line="440" w:lineRule="exact"/>
              <w:ind w:firstLine="480" w:firstLineChars="200"/>
              <w:jc w:val="left"/>
              <w:rPr>
                <w:rFonts w:ascii="宋体" w:hAnsi="宋体"/>
                <w:color w:val="000000"/>
                <w:sz w:val="24"/>
              </w:rPr>
            </w:pPr>
          </w:p>
        </w:tc>
        <w:tc>
          <w:tcPr>
            <w:tcW w:w="1574"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AF-04</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临时设施费</w:t>
            </w:r>
          </w:p>
        </w:tc>
        <w:tc>
          <w:tcPr>
            <w:tcW w:w="2688" w:type="dxa"/>
            <w:vMerge w:val="continue"/>
          </w:tcPr>
          <w:p>
            <w:pPr>
              <w:widowControl/>
              <w:spacing w:line="440" w:lineRule="exact"/>
              <w:ind w:firstLine="480" w:firstLineChars="200"/>
              <w:jc w:val="left"/>
              <w:rPr>
                <w:rFonts w:ascii="宋体" w:hAnsi="宋体"/>
                <w:color w:val="000000"/>
                <w:sz w:val="24"/>
              </w:rPr>
            </w:pPr>
          </w:p>
        </w:tc>
        <w:tc>
          <w:tcPr>
            <w:tcW w:w="1574"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4.6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（二）</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工程排污费</w:t>
            </w:r>
          </w:p>
        </w:tc>
        <w:tc>
          <w:tcPr>
            <w:tcW w:w="4262" w:type="dxa"/>
            <w:gridSpan w:val="2"/>
          </w:tcPr>
          <w:p>
            <w:pPr>
              <w:widowControl/>
              <w:spacing w:line="440" w:lineRule="exact"/>
              <w:ind w:firstLine="480" w:firstLineChars="200"/>
              <w:jc w:val="left"/>
              <w:rPr>
                <w:rFonts w:ascii="宋体" w:hAnsi="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AF-05</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工程排污费</w:t>
            </w:r>
          </w:p>
        </w:tc>
        <w:tc>
          <w:tcPr>
            <w:tcW w:w="2688" w:type="dxa"/>
          </w:tcPr>
          <w:p>
            <w:pPr>
              <w:widowControl/>
              <w:spacing w:line="440" w:lineRule="exact"/>
              <w:ind w:firstLine="480" w:firstLineChars="200"/>
              <w:jc w:val="left"/>
              <w:rPr>
                <w:rFonts w:ascii="宋体" w:hAnsi="宋体"/>
                <w:color w:val="000000"/>
                <w:sz w:val="24"/>
              </w:rPr>
            </w:pPr>
          </w:p>
        </w:tc>
        <w:tc>
          <w:tcPr>
            <w:tcW w:w="1574" w:type="dxa"/>
          </w:tcPr>
          <w:p>
            <w:pPr>
              <w:widowControl/>
              <w:spacing w:line="440" w:lineRule="exact"/>
              <w:ind w:firstLine="480" w:firstLineChars="200"/>
              <w:jc w:val="left"/>
              <w:rPr>
                <w:rFonts w:ascii="宋体" w:hAnsi="宋体"/>
                <w:color w:val="000000"/>
                <w:sz w:val="24"/>
              </w:rPr>
            </w:pPr>
          </w:p>
        </w:tc>
      </w:tr>
    </w:tbl>
    <w:p>
      <w:pPr>
        <w:widowControl/>
        <w:spacing w:line="440" w:lineRule="exact"/>
        <w:ind w:firstLine="480" w:firstLineChars="200"/>
        <w:jc w:val="left"/>
        <w:rPr>
          <w:rFonts w:ascii="宋体" w:hAnsi="宋体"/>
          <w:color w:val="000000"/>
          <w:sz w:val="24"/>
        </w:rPr>
      </w:pP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市政工程不可竞争费费率</w:t>
      </w:r>
    </w:p>
    <w:tbl>
      <w:tblPr>
        <w:tblStyle w:val="4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8"/>
        <w:gridCol w:w="2712"/>
        <w:gridCol w:w="2688"/>
        <w:gridCol w:w="15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项目编码</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项目名称</w:t>
            </w:r>
          </w:p>
        </w:tc>
        <w:tc>
          <w:tcPr>
            <w:tcW w:w="268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计费基础</w:t>
            </w:r>
          </w:p>
        </w:tc>
        <w:tc>
          <w:tcPr>
            <w:tcW w:w="1574"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费率（%）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（一）</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安全文明施工费</w:t>
            </w:r>
          </w:p>
        </w:tc>
        <w:tc>
          <w:tcPr>
            <w:tcW w:w="4262" w:type="dxa"/>
            <w:gridSpan w:val="2"/>
          </w:tcPr>
          <w:p>
            <w:pPr>
              <w:widowControl/>
              <w:spacing w:line="440" w:lineRule="exact"/>
              <w:ind w:firstLine="480" w:firstLineChars="200"/>
              <w:jc w:val="left"/>
              <w:rPr>
                <w:rFonts w:ascii="宋体" w:hAnsi="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SF-01</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环境保护费</w:t>
            </w:r>
          </w:p>
        </w:tc>
        <w:tc>
          <w:tcPr>
            <w:tcW w:w="2688" w:type="dxa"/>
            <w:vMerge w:val="restart"/>
            <w:vAlign w:val="center"/>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定额人工费＋定额机械费</w:t>
            </w:r>
          </w:p>
        </w:tc>
        <w:tc>
          <w:tcPr>
            <w:tcW w:w="1574"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SF-02</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文明施工费</w:t>
            </w:r>
          </w:p>
        </w:tc>
        <w:tc>
          <w:tcPr>
            <w:tcW w:w="2688" w:type="dxa"/>
            <w:vMerge w:val="continue"/>
          </w:tcPr>
          <w:p>
            <w:pPr>
              <w:widowControl/>
              <w:spacing w:line="440" w:lineRule="exact"/>
              <w:ind w:firstLine="480" w:firstLineChars="200"/>
              <w:jc w:val="left"/>
              <w:rPr>
                <w:rFonts w:ascii="宋体" w:hAnsi="宋体"/>
                <w:color w:val="000000"/>
                <w:sz w:val="24"/>
              </w:rPr>
            </w:pPr>
          </w:p>
        </w:tc>
        <w:tc>
          <w:tcPr>
            <w:tcW w:w="1574"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SF-03</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安全施工费</w:t>
            </w:r>
          </w:p>
        </w:tc>
        <w:tc>
          <w:tcPr>
            <w:tcW w:w="2688" w:type="dxa"/>
            <w:vMerge w:val="continue"/>
          </w:tcPr>
          <w:p>
            <w:pPr>
              <w:widowControl/>
              <w:spacing w:line="440" w:lineRule="exact"/>
              <w:ind w:firstLine="480" w:firstLineChars="200"/>
              <w:jc w:val="left"/>
              <w:rPr>
                <w:rFonts w:ascii="宋体" w:hAnsi="宋体"/>
                <w:color w:val="000000"/>
                <w:sz w:val="24"/>
              </w:rPr>
            </w:pPr>
          </w:p>
        </w:tc>
        <w:tc>
          <w:tcPr>
            <w:tcW w:w="1574"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SF-04</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临时设施费</w:t>
            </w:r>
          </w:p>
        </w:tc>
        <w:tc>
          <w:tcPr>
            <w:tcW w:w="2688" w:type="dxa"/>
            <w:vMerge w:val="continue"/>
          </w:tcPr>
          <w:p>
            <w:pPr>
              <w:widowControl/>
              <w:spacing w:line="440" w:lineRule="exact"/>
              <w:ind w:firstLine="480" w:firstLineChars="200"/>
              <w:jc w:val="left"/>
              <w:rPr>
                <w:rFonts w:ascii="宋体" w:hAnsi="宋体"/>
                <w:color w:val="000000"/>
                <w:sz w:val="24"/>
              </w:rPr>
            </w:pPr>
          </w:p>
        </w:tc>
        <w:tc>
          <w:tcPr>
            <w:tcW w:w="1574"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（二）</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工程排污费</w:t>
            </w:r>
          </w:p>
        </w:tc>
        <w:tc>
          <w:tcPr>
            <w:tcW w:w="4262" w:type="dxa"/>
            <w:gridSpan w:val="2"/>
          </w:tcPr>
          <w:p>
            <w:pPr>
              <w:widowControl/>
              <w:spacing w:line="440" w:lineRule="exact"/>
              <w:ind w:firstLine="480" w:firstLineChars="200"/>
              <w:jc w:val="left"/>
              <w:rPr>
                <w:rFonts w:ascii="宋体" w:hAnsi="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SF-05</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工程排污费</w:t>
            </w:r>
          </w:p>
        </w:tc>
        <w:tc>
          <w:tcPr>
            <w:tcW w:w="2688" w:type="dxa"/>
          </w:tcPr>
          <w:p>
            <w:pPr>
              <w:widowControl/>
              <w:spacing w:line="440" w:lineRule="exact"/>
              <w:ind w:firstLine="480" w:firstLineChars="200"/>
              <w:jc w:val="left"/>
              <w:rPr>
                <w:rFonts w:ascii="宋体" w:hAnsi="宋体"/>
                <w:color w:val="000000"/>
                <w:sz w:val="24"/>
              </w:rPr>
            </w:pPr>
          </w:p>
        </w:tc>
        <w:tc>
          <w:tcPr>
            <w:tcW w:w="1574" w:type="dxa"/>
          </w:tcPr>
          <w:p>
            <w:pPr>
              <w:widowControl/>
              <w:spacing w:line="440" w:lineRule="exact"/>
              <w:ind w:firstLine="480" w:firstLineChars="200"/>
              <w:jc w:val="left"/>
              <w:rPr>
                <w:rFonts w:ascii="宋体" w:hAnsi="宋体"/>
                <w:color w:val="000000"/>
                <w:sz w:val="24"/>
              </w:rPr>
            </w:pPr>
          </w:p>
        </w:tc>
      </w:tr>
    </w:tbl>
    <w:p>
      <w:pPr>
        <w:widowControl/>
        <w:spacing w:line="440" w:lineRule="exact"/>
        <w:ind w:firstLine="480" w:firstLineChars="200"/>
        <w:jc w:val="left"/>
        <w:rPr>
          <w:rFonts w:ascii="宋体" w:hAnsi="宋体"/>
          <w:color w:val="000000"/>
          <w:sz w:val="24"/>
        </w:rPr>
      </w:pP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园林绿化工程不可竞争费费率</w:t>
      </w:r>
    </w:p>
    <w:tbl>
      <w:tblPr>
        <w:tblStyle w:val="4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8"/>
        <w:gridCol w:w="2712"/>
        <w:gridCol w:w="2688"/>
        <w:gridCol w:w="15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项目编码</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项目名称</w:t>
            </w:r>
          </w:p>
        </w:tc>
        <w:tc>
          <w:tcPr>
            <w:tcW w:w="268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计费基础</w:t>
            </w:r>
          </w:p>
        </w:tc>
        <w:tc>
          <w:tcPr>
            <w:tcW w:w="1574"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费率（%）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（一）</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安全文明施工费</w:t>
            </w:r>
          </w:p>
        </w:tc>
        <w:tc>
          <w:tcPr>
            <w:tcW w:w="4262" w:type="dxa"/>
            <w:gridSpan w:val="2"/>
          </w:tcPr>
          <w:p>
            <w:pPr>
              <w:widowControl/>
              <w:spacing w:line="440" w:lineRule="exact"/>
              <w:ind w:firstLine="480" w:firstLineChars="200"/>
              <w:jc w:val="left"/>
              <w:rPr>
                <w:rFonts w:ascii="宋体" w:hAnsi="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YF-01</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环境保护费</w:t>
            </w:r>
          </w:p>
        </w:tc>
        <w:tc>
          <w:tcPr>
            <w:tcW w:w="2688" w:type="dxa"/>
            <w:vMerge w:val="restart"/>
            <w:vAlign w:val="center"/>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定额人工费＋定额机械费</w:t>
            </w:r>
          </w:p>
        </w:tc>
        <w:tc>
          <w:tcPr>
            <w:tcW w:w="1574"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YF-02</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文明施工费</w:t>
            </w:r>
          </w:p>
        </w:tc>
        <w:tc>
          <w:tcPr>
            <w:tcW w:w="2688" w:type="dxa"/>
            <w:vMerge w:val="continue"/>
          </w:tcPr>
          <w:p>
            <w:pPr>
              <w:widowControl/>
              <w:spacing w:line="440" w:lineRule="exact"/>
              <w:ind w:firstLine="480" w:firstLineChars="200"/>
              <w:jc w:val="left"/>
              <w:rPr>
                <w:rFonts w:ascii="宋体" w:hAnsi="宋体"/>
                <w:color w:val="000000"/>
                <w:sz w:val="24"/>
              </w:rPr>
            </w:pPr>
          </w:p>
        </w:tc>
        <w:tc>
          <w:tcPr>
            <w:tcW w:w="1574"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YF-03</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安全施工费</w:t>
            </w:r>
          </w:p>
        </w:tc>
        <w:tc>
          <w:tcPr>
            <w:tcW w:w="2688" w:type="dxa"/>
            <w:vMerge w:val="continue"/>
          </w:tcPr>
          <w:p>
            <w:pPr>
              <w:widowControl/>
              <w:spacing w:line="440" w:lineRule="exact"/>
              <w:ind w:firstLine="480" w:firstLineChars="200"/>
              <w:jc w:val="left"/>
              <w:rPr>
                <w:rFonts w:ascii="宋体" w:hAnsi="宋体"/>
                <w:color w:val="000000"/>
                <w:sz w:val="24"/>
              </w:rPr>
            </w:pPr>
          </w:p>
        </w:tc>
        <w:tc>
          <w:tcPr>
            <w:tcW w:w="1574"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YF-04</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临时设施费</w:t>
            </w:r>
          </w:p>
        </w:tc>
        <w:tc>
          <w:tcPr>
            <w:tcW w:w="2688" w:type="dxa"/>
            <w:vMerge w:val="continue"/>
          </w:tcPr>
          <w:p>
            <w:pPr>
              <w:widowControl/>
              <w:spacing w:line="440" w:lineRule="exact"/>
              <w:ind w:firstLine="480" w:firstLineChars="200"/>
              <w:jc w:val="left"/>
              <w:rPr>
                <w:rFonts w:ascii="宋体" w:hAnsi="宋体"/>
                <w:color w:val="000000"/>
                <w:sz w:val="24"/>
              </w:rPr>
            </w:pPr>
          </w:p>
        </w:tc>
        <w:tc>
          <w:tcPr>
            <w:tcW w:w="1574"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（二）</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工程排污费</w:t>
            </w:r>
          </w:p>
        </w:tc>
        <w:tc>
          <w:tcPr>
            <w:tcW w:w="4262" w:type="dxa"/>
            <w:gridSpan w:val="2"/>
          </w:tcPr>
          <w:p>
            <w:pPr>
              <w:widowControl/>
              <w:spacing w:line="440" w:lineRule="exact"/>
              <w:ind w:firstLine="480" w:firstLineChars="200"/>
              <w:jc w:val="left"/>
              <w:rPr>
                <w:rFonts w:ascii="宋体" w:hAnsi="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YF-05</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工程排污费</w:t>
            </w:r>
          </w:p>
        </w:tc>
        <w:tc>
          <w:tcPr>
            <w:tcW w:w="2688" w:type="dxa"/>
          </w:tcPr>
          <w:p>
            <w:pPr>
              <w:widowControl/>
              <w:spacing w:line="440" w:lineRule="exact"/>
              <w:ind w:firstLine="480" w:firstLineChars="200"/>
              <w:jc w:val="left"/>
              <w:rPr>
                <w:rFonts w:ascii="宋体" w:hAnsi="宋体"/>
                <w:color w:val="000000"/>
                <w:sz w:val="24"/>
              </w:rPr>
            </w:pPr>
          </w:p>
        </w:tc>
        <w:tc>
          <w:tcPr>
            <w:tcW w:w="1574" w:type="dxa"/>
          </w:tcPr>
          <w:p>
            <w:pPr>
              <w:widowControl/>
              <w:spacing w:line="440" w:lineRule="exact"/>
              <w:ind w:firstLine="480" w:firstLineChars="200"/>
              <w:jc w:val="left"/>
              <w:rPr>
                <w:rFonts w:ascii="宋体" w:hAnsi="宋体"/>
                <w:color w:val="000000"/>
                <w:sz w:val="24"/>
              </w:rPr>
            </w:pPr>
          </w:p>
        </w:tc>
      </w:tr>
    </w:tbl>
    <w:p>
      <w:pPr>
        <w:widowControl/>
        <w:spacing w:line="440" w:lineRule="exact"/>
        <w:ind w:firstLine="480" w:firstLineChars="200"/>
        <w:jc w:val="left"/>
        <w:rPr>
          <w:rFonts w:ascii="宋体" w:hAnsi="宋体"/>
          <w:color w:val="000000"/>
          <w:sz w:val="24"/>
        </w:rPr>
      </w:pP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仿古建筑工程不可竞争费费率</w:t>
      </w:r>
    </w:p>
    <w:tbl>
      <w:tblPr>
        <w:tblStyle w:val="4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8"/>
        <w:gridCol w:w="2712"/>
        <w:gridCol w:w="2688"/>
        <w:gridCol w:w="15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项目编码</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项目名称</w:t>
            </w:r>
          </w:p>
        </w:tc>
        <w:tc>
          <w:tcPr>
            <w:tcW w:w="268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计费基础</w:t>
            </w:r>
          </w:p>
        </w:tc>
        <w:tc>
          <w:tcPr>
            <w:tcW w:w="1574"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费率（%）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（一）</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安全文明施工费</w:t>
            </w:r>
          </w:p>
        </w:tc>
        <w:tc>
          <w:tcPr>
            <w:tcW w:w="4262" w:type="dxa"/>
            <w:gridSpan w:val="2"/>
          </w:tcPr>
          <w:p>
            <w:pPr>
              <w:widowControl/>
              <w:spacing w:line="440" w:lineRule="exact"/>
              <w:ind w:firstLine="480" w:firstLineChars="200"/>
              <w:jc w:val="left"/>
              <w:rPr>
                <w:rFonts w:ascii="宋体" w:hAnsi="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FF-01</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环境保护费</w:t>
            </w:r>
          </w:p>
        </w:tc>
        <w:tc>
          <w:tcPr>
            <w:tcW w:w="2688" w:type="dxa"/>
            <w:vMerge w:val="restart"/>
            <w:vAlign w:val="center"/>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定额人工费＋定额机械费</w:t>
            </w:r>
          </w:p>
        </w:tc>
        <w:tc>
          <w:tcPr>
            <w:tcW w:w="1574"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FF-02</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文明施工费</w:t>
            </w:r>
          </w:p>
        </w:tc>
        <w:tc>
          <w:tcPr>
            <w:tcW w:w="2688" w:type="dxa"/>
            <w:vMerge w:val="continue"/>
          </w:tcPr>
          <w:p>
            <w:pPr>
              <w:widowControl/>
              <w:spacing w:line="440" w:lineRule="exact"/>
              <w:ind w:firstLine="480" w:firstLineChars="200"/>
              <w:jc w:val="left"/>
              <w:rPr>
                <w:rFonts w:ascii="宋体" w:hAnsi="宋体"/>
                <w:color w:val="000000"/>
                <w:sz w:val="24"/>
              </w:rPr>
            </w:pPr>
          </w:p>
        </w:tc>
        <w:tc>
          <w:tcPr>
            <w:tcW w:w="1574"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FF-03</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安全施工费</w:t>
            </w:r>
          </w:p>
        </w:tc>
        <w:tc>
          <w:tcPr>
            <w:tcW w:w="2688" w:type="dxa"/>
            <w:vMerge w:val="continue"/>
          </w:tcPr>
          <w:p>
            <w:pPr>
              <w:widowControl/>
              <w:spacing w:line="440" w:lineRule="exact"/>
              <w:ind w:firstLine="480" w:firstLineChars="200"/>
              <w:jc w:val="left"/>
              <w:rPr>
                <w:rFonts w:ascii="宋体" w:hAnsi="宋体"/>
                <w:color w:val="000000"/>
                <w:sz w:val="24"/>
              </w:rPr>
            </w:pPr>
          </w:p>
        </w:tc>
        <w:tc>
          <w:tcPr>
            <w:tcW w:w="1574"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FF-04</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临时设施费</w:t>
            </w:r>
          </w:p>
        </w:tc>
        <w:tc>
          <w:tcPr>
            <w:tcW w:w="2688" w:type="dxa"/>
            <w:vMerge w:val="continue"/>
          </w:tcPr>
          <w:p>
            <w:pPr>
              <w:widowControl/>
              <w:spacing w:line="440" w:lineRule="exact"/>
              <w:ind w:firstLine="480" w:firstLineChars="200"/>
              <w:jc w:val="left"/>
              <w:rPr>
                <w:rFonts w:ascii="宋体" w:hAnsi="宋体"/>
                <w:color w:val="000000"/>
                <w:sz w:val="24"/>
              </w:rPr>
            </w:pPr>
          </w:p>
        </w:tc>
        <w:tc>
          <w:tcPr>
            <w:tcW w:w="1574"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（二）</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工程排污费</w:t>
            </w:r>
          </w:p>
        </w:tc>
        <w:tc>
          <w:tcPr>
            <w:tcW w:w="4262" w:type="dxa"/>
            <w:gridSpan w:val="2"/>
          </w:tcPr>
          <w:p>
            <w:pPr>
              <w:widowControl/>
              <w:spacing w:line="440" w:lineRule="exact"/>
              <w:ind w:firstLine="480" w:firstLineChars="200"/>
              <w:jc w:val="left"/>
              <w:rPr>
                <w:rFonts w:ascii="宋体" w:hAnsi="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FF-05</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工程排污费</w:t>
            </w:r>
          </w:p>
        </w:tc>
        <w:tc>
          <w:tcPr>
            <w:tcW w:w="2688" w:type="dxa"/>
          </w:tcPr>
          <w:p>
            <w:pPr>
              <w:widowControl/>
              <w:spacing w:line="440" w:lineRule="exact"/>
              <w:ind w:firstLine="480" w:firstLineChars="200"/>
              <w:jc w:val="left"/>
              <w:rPr>
                <w:rFonts w:ascii="宋体" w:hAnsi="宋体"/>
                <w:color w:val="000000"/>
                <w:sz w:val="24"/>
              </w:rPr>
            </w:pPr>
          </w:p>
        </w:tc>
        <w:tc>
          <w:tcPr>
            <w:tcW w:w="1574" w:type="dxa"/>
          </w:tcPr>
          <w:p>
            <w:pPr>
              <w:widowControl/>
              <w:spacing w:line="440" w:lineRule="exact"/>
              <w:ind w:firstLine="480" w:firstLineChars="200"/>
              <w:jc w:val="left"/>
              <w:rPr>
                <w:rFonts w:ascii="宋体" w:hAnsi="宋体"/>
                <w:color w:val="000000"/>
                <w:sz w:val="24"/>
              </w:rPr>
            </w:pPr>
          </w:p>
        </w:tc>
      </w:tr>
    </w:tbl>
    <w:p>
      <w:pPr>
        <w:widowControl/>
        <w:spacing w:line="440" w:lineRule="exact"/>
        <w:ind w:firstLine="480" w:firstLineChars="200"/>
        <w:jc w:val="left"/>
        <w:rPr>
          <w:rFonts w:ascii="宋体" w:hAnsi="宋体"/>
          <w:color w:val="000000"/>
          <w:sz w:val="24"/>
        </w:rPr>
      </w:pPr>
      <w:r>
        <w:rPr>
          <w:rFonts w:hint="eastAsia" w:ascii="宋体" w:hAnsi="宋体"/>
          <w:color w:val="000000"/>
          <w:sz w:val="24"/>
        </w:rPr>
        <w:t>税金：按9%执行{分部分项工程项目费+措施项目费+不可竞争费+其他项目费}；</w:t>
      </w: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 xml:space="preserve">3）比选文件中明确的由招标人自行采购的材料费； </w:t>
      </w: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4）暂列金额、专业工程暂估价；</w:t>
      </w: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5）法律法规规章、上级文件等规定的其他不可竞争费用。</w:t>
      </w: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可竞争费用包括：</w:t>
      </w: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(1)材料费、机械费用；</w:t>
      </w: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(2)综合费；</w:t>
      </w: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(3)措施项目费。</w:t>
      </w:r>
    </w:p>
    <w:p>
      <w:pPr>
        <w:pStyle w:val="233"/>
        <w:widowControl/>
        <w:numPr>
          <w:ilvl w:val="0"/>
          <w:numId w:val="2"/>
        </w:numPr>
        <w:spacing w:line="440" w:lineRule="exact"/>
        <w:ind w:firstLineChars="0"/>
        <w:jc w:val="left"/>
        <w:rPr>
          <w:rFonts w:ascii="宋体" w:hAnsi="宋体"/>
          <w:b/>
          <w:bCs/>
          <w:color w:val="000000"/>
          <w:sz w:val="24"/>
        </w:rPr>
      </w:pPr>
      <w:r>
        <w:rPr>
          <w:rFonts w:hint="eastAsia" w:ascii="宋体" w:hAnsi="宋体"/>
          <w:b/>
          <w:bCs/>
          <w:color w:val="000000"/>
          <w:sz w:val="24"/>
        </w:rPr>
        <w:t>投标书份数</w:t>
      </w:r>
    </w:p>
    <w:p>
      <w:pPr>
        <w:adjustRightInd w:val="0"/>
        <w:snapToGrid w:val="0"/>
        <w:spacing w:line="500" w:lineRule="exact"/>
        <w:ind w:firstLine="502"/>
        <w:rPr>
          <w:rFonts w:ascii="宋体" w:hAnsi="宋体"/>
          <w:color w:val="000000"/>
          <w:sz w:val="24"/>
        </w:rPr>
      </w:pPr>
      <w:r>
        <w:rPr>
          <w:rFonts w:hint="eastAsia" w:ascii="宋体" w:hAnsi="宋体"/>
          <w:color w:val="000000"/>
          <w:sz w:val="24"/>
        </w:rPr>
        <w:t>纸质标书正本壹份，副本</w:t>
      </w:r>
      <w:r>
        <w:rPr>
          <w:rFonts w:hint="eastAsia" w:ascii="宋体" w:hAnsi="宋体"/>
          <w:color w:val="000000"/>
          <w:sz w:val="24"/>
          <w:lang w:eastAsia="zh-CN"/>
        </w:rPr>
        <w:t>壹</w:t>
      </w:r>
      <w:r>
        <w:rPr>
          <w:rFonts w:hint="eastAsia" w:ascii="宋体" w:hAnsi="宋体"/>
          <w:color w:val="000000"/>
          <w:sz w:val="24"/>
        </w:rPr>
        <w:t>份。</w:t>
      </w:r>
    </w:p>
    <w:p>
      <w:pPr>
        <w:pStyle w:val="7"/>
        <w:keepNext w:val="0"/>
        <w:keepLines w:val="0"/>
        <w:widowControl w:val="0"/>
        <w:numPr>
          <w:ilvl w:val="0"/>
          <w:numId w:val="2"/>
        </w:numPr>
        <w:tabs>
          <w:tab w:val="left" w:pos="1080"/>
        </w:tabs>
        <w:adjustRightInd w:val="0"/>
        <w:snapToGrid w:val="0"/>
        <w:spacing w:before="0" w:after="0" w:line="500" w:lineRule="exact"/>
        <w:ind w:left="0" w:firstLine="499"/>
        <w:rPr>
          <w:bCs/>
          <w:color w:val="000000"/>
        </w:rPr>
      </w:pPr>
      <w:r>
        <w:rPr>
          <w:rFonts w:hint="eastAsia"/>
          <w:bCs/>
          <w:color w:val="000000"/>
        </w:rPr>
        <w:t>投标书的密封</w:t>
      </w: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供应商应将纸质响应文件的正本和副本分别密封，并在封袋上注明“正本”或“副本”并加盖供应商公章。电子标书应注明工程名称及供应商名称，并放在纸质标书正本密封袋内。当投标书正本和副本内容不一致时，以正本内容为准，供应商应无异议，否则按否决投标论处。</w:t>
      </w:r>
    </w:p>
    <w:p>
      <w:pPr>
        <w:pStyle w:val="7"/>
        <w:keepNext w:val="0"/>
        <w:keepLines w:val="0"/>
        <w:widowControl w:val="0"/>
        <w:numPr>
          <w:ilvl w:val="0"/>
          <w:numId w:val="2"/>
        </w:numPr>
        <w:tabs>
          <w:tab w:val="left" w:pos="1080"/>
        </w:tabs>
        <w:adjustRightInd w:val="0"/>
        <w:snapToGrid w:val="0"/>
        <w:spacing w:before="0" w:after="0" w:line="500" w:lineRule="exact"/>
        <w:ind w:left="0" w:firstLine="499"/>
        <w:rPr>
          <w:bCs/>
          <w:color w:val="000000"/>
        </w:rPr>
      </w:pPr>
      <w:r>
        <w:rPr>
          <w:rFonts w:hint="eastAsia"/>
          <w:bCs/>
          <w:color w:val="000000"/>
        </w:rPr>
        <w:t>投标书送达地点</w:t>
      </w:r>
    </w:p>
    <w:p>
      <w:pPr>
        <w:widowControl/>
        <w:spacing w:line="440" w:lineRule="exact"/>
        <w:ind w:firstLine="480" w:firstLineChars="200"/>
        <w:jc w:val="left"/>
        <w:rPr>
          <w:rFonts w:ascii="宋体" w:hAnsi="宋体"/>
          <w:color w:val="FF0000"/>
          <w:sz w:val="24"/>
        </w:rPr>
      </w:pPr>
      <w:r>
        <w:rPr>
          <w:rFonts w:hint="eastAsia" w:ascii="宋体" w:hAnsi="宋体"/>
          <w:color w:val="FF0000"/>
          <w:sz w:val="24"/>
        </w:rPr>
        <w:t>六安市中医院</w:t>
      </w:r>
      <w:r>
        <w:rPr>
          <w:rFonts w:hint="eastAsia" w:ascii="宋体" w:hAnsi="宋体"/>
          <w:color w:val="FF0000"/>
          <w:sz w:val="24"/>
          <w:lang w:val="en-US" w:eastAsia="zh-CN"/>
        </w:rPr>
        <w:t>A座</w:t>
      </w:r>
      <w:r>
        <w:rPr>
          <w:rFonts w:hint="eastAsia" w:ascii="宋体" w:hAnsi="宋体"/>
          <w:color w:val="FF0000"/>
          <w:sz w:val="24"/>
        </w:rPr>
        <w:t>二十楼第一会议室</w:t>
      </w:r>
    </w:p>
    <w:p>
      <w:pPr>
        <w:pStyle w:val="7"/>
        <w:keepNext w:val="0"/>
        <w:keepLines w:val="0"/>
        <w:widowControl w:val="0"/>
        <w:numPr>
          <w:ilvl w:val="0"/>
          <w:numId w:val="2"/>
        </w:numPr>
        <w:tabs>
          <w:tab w:val="left" w:pos="1080"/>
        </w:tabs>
        <w:adjustRightInd w:val="0"/>
        <w:snapToGrid w:val="0"/>
        <w:spacing w:before="0" w:after="0" w:line="500" w:lineRule="exact"/>
        <w:ind w:left="0" w:firstLine="499"/>
        <w:rPr>
          <w:bCs/>
          <w:color w:val="000000"/>
        </w:rPr>
      </w:pPr>
      <w:r>
        <w:rPr>
          <w:rFonts w:hint="eastAsia"/>
          <w:bCs/>
          <w:color w:val="000000"/>
        </w:rPr>
        <w:t>投标书递交截止时间</w:t>
      </w:r>
    </w:p>
    <w:p>
      <w:pPr>
        <w:widowControl/>
        <w:spacing w:line="440" w:lineRule="exact"/>
        <w:ind w:firstLine="480" w:firstLineChars="200"/>
        <w:jc w:val="left"/>
        <w:rPr>
          <w:rFonts w:ascii="宋体" w:hAnsi="宋体"/>
          <w:color w:val="FF0000"/>
          <w:sz w:val="24"/>
        </w:rPr>
      </w:pPr>
      <w:r>
        <w:rPr>
          <w:rFonts w:ascii="宋体" w:hAnsi="宋体"/>
          <w:color w:val="FF0000"/>
          <w:sz w:val="24"/>
        </w:rPr>
        <w:t>2021</w:t>
      </w:r>
      <w:r>
        <w:rPr>
          <w:rFonts w:hint="eastAsia" w:ascii="宋体" w:hAnsi="宋体"/>
          <w:color w:val="FF0000"/>
          <w:sz w:val="24"/>
        </w:rPr>
        <w:t>年</w:t>
      </w:r>
      <w:r>
        <w:rPr>
          <w:rFonts w:ascii="宋体" w:hAnsi="宋体"/>
          <w:color w:val="FF0000"/>
          <w:sz w:val="24"/>
        </w:rPr>
        <w:t>5</w:t>
      </w:r>
      <w:r>
        <w:rPr>
          <w:rFonts w:hint="eastAsia" w:ascii="宋体" w:hAnsi="宋体"/>
          <w:color w:val="FF0000"/>
          <w:sz w:val="24"/>
        </w:rPr>
        <w:t>月</w:t>
      </w:r>
      <w:r>
        <w:rPr>
          <w:rFonts w:hint="eastAsia" w:ascii="宋体" w:hAnsi="宋体"/>
          <w:color w:val="FF0000"/>
          <w:sz w:val="24"/>
          <w:lang w:eastAsia="zh-CN"/>
        </w:rPr>
        <w:t>17</w:t>
      </w:r>
      <w:r>
        <w:rPr>
          <w:rFonts w:hint="eastAsia" w:ascii="宋体" w:hAnsi="宋体"/>
          <w:color w:val="FF0000"/>
          <w:sz w:val="24"/>
        </w:rPr>
        <w:t>日</w:t>
      </w:r>
      <w:r>
        <w:rPr>
          <w:rFonts w:hint="eastAsia" w:ascii="宋体" w:hAnsi="宋体"/>
          <w:color w:val="FF0000"/>
          <w:sz w:val="24"/>
          <w:lang w:val="en-US" w:eastAsia="zh-CN"/>
        </w:rPr>
        <w:t>15</w:t>
      </w:r>
      <w:r>
        <w:rPr>
          <w:rFonts w:hint="eastAsia" w:ascii="宋体" w:hAnsi="宋体"/>
          <w:color w:val="FF0000"/>
          <w:sz w:val="24"/>
        </w:rPr>
        <w:t>时</w:t>
      </w:r>
      <w:r>
        <w:rPr>
          <w:rFonts w:ascii="宋体" w:hAnsi="宋体"/>
          <w:color w:val="FF0000"/>
          <w:sz w:val="24"/>
        </w:rPr>
        <w:t>00</w:t>
      </w:r>
      <w:r>
        <w:rPr>
          <w:rFonts w:hint="eastAsia" w:ascii="宋体" w:hAnsi="宋体"/>
          <w:color w:val="FF0000"/>
          <w:sz w:val="24"/>
        </w:rPr>
        <w:t>分（北京时间）</w:t>
      </w:r>
    </w:p>
    <w:p>
      <w:pPr>
        <w:pStyle w:val="7"/>
        <w:keepNext w:val="0"/>
        <w:keepLines w:val="0"/>
        <w:widowControl w:val="0"/>
        <w:numPr>
          <w:ilvl w:val="0"/>
          <w:numId w:val="2"/>
        </w:numPr>
        <w:tabs>
          <w:tab w:val="left" w:pos="1080"/>
        </w:tabs>
        <w:adjustRightInd w:val="0"/>
        <w:snapToGrid w:val="0"/>
        <w:spacing w:before="0" w:after="0" w:line="500" w:lineRule="exact"/>
        <w:ind w:left="0" w:firstLine="499"/>
        <w:rPr>
          <w:bCs/>
          <w:color w:val="000000"/>
        </w:rPr>
      </w:pPr>
      <w:r>
        <w:rPr>
          <w:rFonts w:hint="eastAsia"/>
          <w:bCs/>
          <w:color w:val="000000"/>
        </w:rPr>
        <w:t>迟交的响应文件</w:t>
      </w: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招标人在本须知第17条规定的投标截止时间以后收到的响应文件，将被拒绝并退还给供应商。</w:t>
      </w:r>
    </w:p>
    <w:p>
      <w:pPr>
        <w:pStyle w:val="7"/>
        <w:keepNext w:val="0"/>
        <w:keepLines w:val="0"/>
        <w:widowControl w:val="0"/>
        <w:numPr>
          <w:ilvl w:val="0"/>
          <w:numId w:val="2"/>
        </w:numPr>
        <w:tabs>
          <w:tab w:val="left" w:pos="1080"/>
        </w:tabs>
        <w:adjustRightInd w:val="0"/>
        <w:snapToGrid w:val="0"/>
        <w:spacing w:before="0" w:after="0" w:line="500" w:lineRule="exact"/>
        <w:ind w:left="0" w:firstLine="499"/>
        <w:rPr>
          <w:bCs/>
          <w:color w:val="000000"/>
        </w:rPr>
      </w:pPr>
      <w:r>
        <w:rPr>
          <w:rFonts w:hint="eastAsia"/>
          <w:bCs/>
          <w:color w:val="000000"/>
        </w:rPr>
        <w:t>开标</w:t>
      </w: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19.1</w:t>
      </w:r>
      <w:r>
        <w:rPr>
          <w:rFonts w:hint="eastAsia" w:ascii="宋体" w:hAnsi="宋体"/>
          <w:color w:val="FF0000"/>
          <w:sz w:val="24"/>
        </w:rPr>
        <w:t>开标时间：开标时间为</w:t>
      </w:r>
      <w:r>
        <w:rPr>
          <w:rFonts w:ascii="宋体" w:hAnsi="宋体"/>
          <w:color w:val="FF0000"/>
          <w:sz w:val="24"/>
        </w:rPr>
        <w:t>2021</w:t>
      </w:r>
      <w:r>
        <w:rPr>
          <w:rFonts w:hint="eastAsia" w:ascii="宋体" w:hAnsi="宋体"/>
          <w:color w:val="FF0000"/>
          <w:sz w:val="24"/>
        </w:rPr>
        <w:t>年</w:t>
      </w:r>
      <w:r>
        <w:rPr>
          <w:rFonts w:ascii="宋体" w:hAnsi="宋体"/>
          <w:color w:val="FF0000"/>
          <w:sz w:val="24"/>
        </w:rPr>
        <w:t>5</w:t>
      </w:r>
      <w:r>
        <w:rPr>
          <w:rFonts w:hint="eastAsia" w:ascii="宋体" w:hAnsi="宋体"/>
          <w:color w:val="FF0000"/>
          <w:sz w:val="24"/>
        </w:rPr>
        <w:t>月</w:t>
      </w:r>
      <w:r>
        <w:rPr>
          <w:rFonts w:hint="eastAsia" w:ascii="宋体" w:hAnsi="宋体"/>
          <w:color w:val="FF0000"/>
          <w:sz w:val="24"/>
          <w:lang w:val="en-US" w:eastAsia="zh-CN"/>
        </w:rPr>
        <w:t>17</w:t>
      </w:r>
      <w:r>
        <w:rPr>
          <w:rFonts w:hint="eastAsia" w:ascii="宋体" w:hAnsi="宋体"/>
          <w:color w:val="FF0000"/>
          <w:sz w:val="24"/>
        </w:rPr>
        <w:t>日</w:t>
      </w:r>
      <w:r>
        <w:rPr>
          <w:rFonts w:hint="eastAsia" w:ascii="宋体" w:hAnsi="宋体"/>
          <w:color w:val="FF0000"/>
          <w:sz w:val="24"/>
          <w:lang w:val="en-US" w:eastAsia="zh-CN"/>
        </w:rPr>
        <w:t>15</w:t>
      </w:r>
      <w:r>
        <w:rPr>
          <w:rFonts w:hint="eastAsia" w:ascii="宋体" w:hAnsi="宋体"/>
          <w:color w:val="FF0000"/>
          <w:sz w:val="24"/>
        </w:rPr>
        <w:t>时</w:t>
      </w:r>
      <w:r>
        <w:rPr>
          <w:rFonts w:ascii="宋体" w:hAnsi="宋体"/>
          <w:color w:val="FF0000"/>
          <w:sz w:val="24"/>
        </w:rPr>
        <w:t>00</w:t>
      </w:r>
      <w:r>
        <w:rPr>
          <w:rFonts w:hint="eastAsia" w:ascii="宋体" w:hAnsi="宋体"/>
          <w:color w:val="FF0000"/>
          <w:sz w:val="24"/>
        </w:rPr>
        <w:t>分。</w:t>
      </w: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19.2</w:t>
      </w:r>
      <w:r>
        <w:rPr>
          <w:rFonts w:hint="eastAsia" w:ascii="宋体" w:hAnsi="宋体"/>
          <w:color w:val="FF0000"/>
          <w:sz w:val="24"/>
        </w:rPr>
        <w:t>开标地点：六安市中医院</w:t>
      </w:r>
      <w:r>
        <w:rPr>
          <w:rFonts w:hint="eastAsia" w:ascii="宋体" w:hAnsi="宋体"/>
          <w:color w:val="FF0000"/>
          <w:sz w:val="24"/>
          <w:lang w:val="en-US" w:eastAsia="zh-CN"/>
        </w:rPr>
        <w:t>A座</w:t>
      </w:r>
      <w:r>
        <w:rPr>
          <w:rFonts w:hint="eastAsia" w:ascii="宋体" w:hAnsi="宋体"/>
          <w:color w:val="FF0000"/>
          <w:sz w:val="24"/>
        </w:rPr>
        <w:t>二十楼第一会议室</w:t>
      </w: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19.3开标时将邀请所有供应商参加。各投标单位参加开标会议的人数</w:t>
      </w:r>
      <w:r>
        <w:rPr>
          <w:rFonts w:hint="eastAsia" w:ascii="宋体" w:hAnsi="宋体"/>
          <w:b/>
          <w:color w:val="000000"/>
          <w:sz w:val="24"/>
        </w:rPr>
        <w:t>不得超过1人</w:t>
      </w:r>
      <w:r>
        <w:rPr>
          <w:rFonts w:hint="eastAsia" w:ascii="宋体" w:hAnsi="宋体"/>
          <w:color w:val="000000"/>
          <w:sz w:val="24"/>
        </w:rPr>
        <w:t>。到场的投标单位法定代表人应出示身份证，委托代理人应出示授权委托书及身份证。到场各单位代表人员均应签字以示出席，凡未准时出席或要求提交的证件不齐的投标单位，其响应文件不予开封并退还供应商。</w:t>
      </w: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19.4由供应商代表检查响应文件密封情况，供应商对检查结果有异议，应在投标书开封前提出。投标书开封后提出，将视为无效。</w:t>
      </w: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19.5标书经确认密封无误后，由有关工作人员当众拆封并宣读供应商名称、投标价格、投标工期、质量标准等主要标书内容。</w:t>
      </w: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19.6若比选单位宣读投标内容与投标书不符时，供应商有权在开标现场提出异议经当场核查确认后，可重新宣读其投标书。若投标单位在开标现场未提出异议则视为供应商已确认比选单位宣读的结果。</w:t>
      </w:r>
    </w:p>
    <w:p>
      <w:pPr>
        <w:pStyle w:val="7"/>
        <w:keepNext w:val="0"/>
        <w:keepLines w:val="0"/>
        <w:widowControl w:val="0"/>
        <w:numPr>
          <w:ilvl w:val="0"/>
          <w:numId w:val="2"/>
        </w:numPr>
        <w:tabs>
          <w:tab w:val="left" w:pos="1080"/>
        </w:tabs>
        <w:adjustRightInd w:val="0"/>
        <w:snapToGrid w:val="0"/>
        <w:spacing w:before="0" w:after="0" w:line="500" w:lineRule="exact"/>
        <w:ind w:left="0" w:firstLine="499"/>
        <w:rPr>
          <w:bCs/>
          <w:color w:val="000000"/>
        </w:rPr>
      </w:pPr>
      <w:r>
        <w:rPr>
          <w:rFonts w:hint="eastAsia"/>
          <w:bCs/>
          <w:color w:val="000000"/>
        </w:rPr>
        <w:t>响应文件的有效性</w:t>
      </w: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20</w:t>
      </w:r>
      <w:r>
        <w:rPr>
          <w:rFonts w:ascii="宋体" w:hAnsi="宋体"/>
          <w:color w:val="000000"/>
          <w:sz w:val="24"/>
        </w:rPr>
        <w:t>.1</w:t>
      </w:r>
      <w:r>
        <w:rPr>
          <w:rFonts w:hint="eastAsia" w:ascii="宋体" w:hAnsi="宋体"/>
          <w:color w:val="000000"/>
          <w:sz w:val="24"/>
        </w:rPr>
        <w:t>开标时，响应文件出现下列情形之一的，应当作为无效响应文件，不得进入评标程序。</w:t>
      </w: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20</w:t>
      </w:r>
      <w:r>
        <w:rPr>
          <w:rFonts w:ascii="宋体" w:hAnsi="宋体"/>
          <w:color w:val="000000"/>
          <w:sz w:val="24"/>
        </w:rPr>
        <w:t>.</w:t>
      </w:r>
      <w:r>
        <w:rPr>
          <w:rFonts w:hint="eastAsia" w:ascii="宋体" w:hAnsi="宋体"/>
          <w:color w:val="000000"/>
          <w:sz w:val="24"/>
        </w:rPr>
        <w:t>1</w:t>
      </w:r>
      <w:r>
        <w:rPr>
          <w:rFonts w:ascii="宋体" w:hAnsi="宋体"/>
          <w:color w:val="000000"/>
          <w:sz w:val="24"/>
        </w:rPr>
        <w:t>.</w:t>
      </w:r>
      <w:r>
        <w:rPr>
          <w:rFonts w:hint="eastAsia" w:ascii="宋体" w:hAnsi="宋体"/>
          <w:color w:val="000000"/>
          <w:sz w:val="24"/>
        </w:rPr>
        <w:t>1响应文件未按照本须知第15条的要求装订、密封和标记的；</w:t>
      </w: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20</w:t>
      </w:r>
      <w:r>
        <w:rPr>
          <w:rFonts w:ascii="宋体" w:hAnsi="宋体"/>
          <w:color w:val="000000"/>
          <w:sz w:val="24"/>
        </w:rPr>
        <w:t>.</w:t>
      </w:r>
      <w:r>
        <w:rPr>
          <w:rFonts w:hint="eastAsia" w:ascii="宋体" w:hAnsi="宋体"/>
          <w:color w:val="000000"/>
          <w:sz w:val="24"/>
        </w:rPr>
        <w:t>1</w:t>
      </w:r>
      <w:r>
        <w:rPr>
          <w:rFonts w:ascii="宋体" w:hAnsi="宋体"/>
          <w:color w:val="000000"/>
          <w:sz w:val="24"/>
        </w:rPr>
        <w:t>.</w:t>
      </w:r>
      <w:r>
        <w:rPr>
          <w:rFonts w:hint="eastAsia" w:ascii="宋体" w:hAnsi="宋体"/>
          <w:color w:val="000000"/>
          <w:sz w:val="24"/>
        </w:rPr>
        <w:t>2响应文件有关内容未按比选文件要求加盖供应商印章或未经法定代表人签字或盖章的；</w:t>
      </w: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20</w:t>
      </w:r>
      <w:r>
        <w:rPr>
          <w:rFonts w:ascii="宋体" w:hAnsi="宋体"/>
          <w:color w:val="000000"/>
          <w:sz w:val="24"/>
        </w:rPr>
        <w:t>.</w:t>
      </w:r>
      <w:r>
        <w:rPr>
          <w:rFonts w:hint="eastAsia" w:ascii="宋体" w:hAnsi="宋体"/>
          <w:color w:val="000000"/>
          <w:sz w:val="24"/>
        </w:rPr>
        <w:t>1</w:t>
      </w:r>
      <w:r>
        <w:rPr>
          <w:rFonts w:ascii="宋体" w:hAnsi="宋体"/>
          <w:color w:val="000000"/>
          <w:sz w:val="24"/>
        </w:rPr>
        <w:t>.</w:t>
      </w:r>
      <w:r>
        <w:rPr>
          <w:rFonts w:hint="eastAsia" w:ascii="宋体" w:hAnsi="宋体"/>
          <w:color w:val="000000"/>
          <w:sz w:val="24"/>
        </w:rPr>
        <w:t>3响应文件的关键内容字迹模糊、无法辨认的；</w:t>
      </w:r>
    </w:p>
    <w:p>
      <w:pPr>
        <w:widowControl/>
        <w:spacing w:line="440" w:lineRule="exact"/>
        <w:ind w:firstLine="480" w:firstLineChars="200"/>
        <w:jc w:val="left"/>
        <w:rPr>
          <w:rFonts w:ascii="宋体" w:hAnsi="宋体"/>
          <w:sz w:val="24"/>
        </w:rPr>
      </w:pPr>
      <w:r>
        <w:rPr>
          <w:rFonts w:hint="eastAsia" w:ascii="宋体" w:hAnsi="宋体"/>
          <w:color w:val="000000"/>
          <w:sz w:val="24"/>
        </w:rPr>
        <w:t>20</w:t>
      </w:r>
      <w:r>
        <w:rPr>
          <w:rFonts w:ascii="宋体" w:hAnsi="宋体"/>
          <w:color w:val="000000"/>
          <w:sz w:val="24"/>
        </w:rPr>
        <w:t>.</w:t>
      </w:r>
      <w:r>
        <w:rPr>
          <w:rFonts w:hint="eastAsia" w:ascii="宋体" w:hAnsi="宋体"/>
          <w:color w:val="000000"/>
          <w:sz w:val="24"/>
        </w:rPr>
        <w:t>1</w:t>
      </w:r>
      <w:r>
        <w:rPr>
          <w:rFonts w:ascii="宋体" w:hAnsi="宋体"/>
          <w:color w:val="000000"/>
          <w:sz w:val="24"/>
        </w:rPr>
        <w:t>.</w:t>
      </w:r>
      <w:r>
        <w:rPr>
          <w:rFonts w:hint="eastAsia" w:ascii="宋体" w:hAnsi="宋体"/>
          <w:color w:val="000000"/>
          <w:sz w:val="24"/>
        </w:rPr>
        <w:t>4</w:t>
      </w:r>
      <w:r>
        <w:rPr>
          <w:rFonts w:hint="eastAsia" w:ascii="宋体" w:hAnsi="宋体"/>
          <w:sz w:val="24"/>
        </w:rPr>
        <w:t>供应商未按照比选文件的要求提供响应保证金的；</w:t>
      </w: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20</w:t>
      </w:r>
      <w:r>
        <w:rPr>
          <w:rFonts w:ascii="宋体" w:hAnsi="宋体"/>
          <w:color w:val="000000"/>
          <w:sz w:val="24"/>
        </w:rPr>
        <w:t>.</w:t>
      </w:r>
      <w:r>
        <w:rPr>
          <w:rFonts w:hint="eastAsia" w:ascii="宋体" w:hAnsi="宋体"/>
          <w:color w:val="000000"/>
          <w:sz w:val="24"/>
        </w:rPr>
        <w:t>1</w:t>
      </w:r>
      <w:r>
        <w:rPr>
          <w:rFonts w:ascii="宋体" w:hAnsi="宋体"/>
          <w:color w:val="000000"/>
          <w:sz w:val="24"/>
        </w:rPr>
        <w:t>.</w:t>
      </w:r>
      <w:r>
        <w:rPr>
          <w:rFonts w:hint="eastAsia" w:ascii="宋体" w:hAnsi="宋体"/>
          <w:color w:val="000000"/>
          <w:sz w:val="24"/>
        </w:rPr>
        <w:t>5自行更改工程量数量或项目特征内容的；</w:t>
      </w: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20</w:t>
      </w:r>
      <w:r>
        <w:rPr>
          <w:rFonts w:ascii="宋体" w:hAnsi="宋体"/>
          <w:color w:val="000000"/>
          <w:sz w:val="24"/>
        </w:rPr>
        <w:t>.</w:t>
      </w:r>
      <w:r>
        <w:rPr>
          <w:rFonts w:hint="eastAsia" w:ascii="宋体" w:hAnsi="宋体"/>
          <w:color w:val="000000"/>
          <w:sz w:val="24"/>
        </w:rPr>
        <w:t>1</w:t>
      </w:r>
      <w:r>
        <w:rPr>
          <w:rFonts w:ascii="宋体" w:hAnsi="宋体"/>
          <w:color w:val="000000"/>
          <w:sz w:val="24"/>
        </w:rPr>
        <w:t>.</w:t>
      </w:r>
      <w:r>
        <w:rPr>
          <w:rFonts w:hint="eastAsia" w:ascii="宋体" w:hAnsi="宋体"/>
          <w:color w:val="000000"/>
          <w:sz w:val="24"/>
        </w:rPr>
        <w:t>6供应商投标工期超过比选文件规定工期的；</w:t>
      </w:r>
    </w:p>
    <w:p>
      <w:pPr>
        <w:widowControl/>
        <w:spacing w:line="440" w:lineRule="exact"/>
        <w:ind w:firstLine="480" w:firstLineChars="200"/>
        <w:jc w:val="left"/>
        <w:rPr>
          <w:rFonts w:ascii="宋体" w:hAnsi="宋体"/>
          <w:sz w:val="24"/>
        </w:rPr>
      </w:pPr>
      <w:r>
        <w:rPr>
          <w:rFonts w:hint="eastAsia" w:ascii="宋体" w:hAnsi="宋体"/>
          <w:sz w:val="24"/>
        </w:rPr>
        <w:t>20.1.7未按比选文件格式提供预算书的。</w:t>
      </w:r>
    </w:p>
    <w:p>
      <w:pPr>
        <w:pStyle w:val="7"/>
        <w:keepNext w:val="0"/>
        <w:keepLines w:val="0"/>
        <w:widowControl w:val="0"/>
        <w:numPr>
          <w:ilvl w:val="0"/>
          <w:numId w:val="2"/>
        </w:numPr>
        <w:tabs>
          <w:tab w:val="left" w:pos="1080"/>
        </w:tabs>
        <w:adjustRightInd w:val="0"/>
        <w:snapToGrid w:val="0"/>
        <w:spacing w:before="0" w:after="0" w:line="500" w:lineRule="exact"/>
        <w:ind w:left="0" w:firstLine="499"/>
        <w:rPr>
          <w:bCs/>
          <w:color w:val="000000"/>
        </w:rPr>
      </w:pPr>
      <w:bookmarkStart w:id="5" w:name="_Toc137097505"/>
      <w:bookmarkStart w:id="6" w:name="_Toc323815357"/>
      <w:bookmarkStart w:id="7" w:name="_Toc368987577"/>
      <w:bookmarkStart w:id="8" w:name="_Toc432968418"/>
      <w:bookmarkStart w:id="9" w:name="_Toc432971920"/>
      <w:bookmarkStart w:id="10" w:name="_Toc443230586"/>
      <w:bookmarkStart w:id="11" w:name="_Toc508803956"/>
      <w:bookmarkStart w:id="12" w:name="_Toc323808541"/>
      <w:r>
        <w:rPr>
          <w:bCs/>
          <w:color w:val="000000"/>
        </w:rPr>
        <w:t>评标</w:t>
      </w:r>
      <w:bookmarkEnd w:id="5"/>
      <w:bookmarkEnd w:id="6"/>
      <w:bookmarkEnd w:id="7"/>
      <w:bookmarkEnd w:id="8"/>
      <w:bookmarkEnd w:id="9"/>
      <w:bookmarkEnd w:id="10"/>
      <w:bookmarkEnd w:id="11"/>
      <w:bookmarkEnd w:id="12"/>
    </w:p>
    <w:p>
      <w:pPr>
        <w:widowControl/>
        <w:spacing w:line="440" w:lineRule="exact"/>
        <w:ind w:firstLine="480" w:firstLineChars="200"/>
        <w:jc w:val="left"/>
        <w:rPr>
          <w:rFonts w:ascii="宋体" w:hAnsi="宋体"/>
          <w:color w:val="000000"/>
          <w:sz w:val="24"/>
        </w:rPr>
      </w:pPr>
      <w:r>
        <w:rPr>
          <w:rFonts w:ascii="宋体" w:hAnsi="宋体"/>
          <w:color w:val="000000"/>
          <w:sz w:val="24"/>
        </w:rPr>
        <w:t>评审小组按照第三章“评审办法”规定的方法、评审因素、标准和程序对响应文件进行评审。</w:t>
      </w:r>
      <w:r>
        <w:rPr>
          <w:rFonts w:hint="eastAsia" w:ascii="宋体" w:hAnsi="宋体"/>
          <w:color w:val="000000"/>
          <w:sz w:val="24"/>
        </w:rPr>
        <w:t>本比选文件</w:t>
      </w:r>
      <w:r>
        <w:rPr>
          <w:rFonts w:ascii="宋体" w:hAnsi="宋体"/>
          <w:color w:val="000000"/>
          <w:sz w:val="24"/>
        </w:rPr>
        <w:t>没有规定的方法、评审因素和标准，不作为评标依据。</w:t>
      </w:r>
    </w:p>
    <w:p>
      <w:pPr>
        <w:pStyle w:val="7"/>
        <w:keepNext w:val="0"/>
        <w:keepLines w:val="0"/>
        <w:widowControl w:val="0"/>
        <w:numPr>
          <w:ilvl w:val="0"/>
          <w:numId w:val="2"/>
        </w:numPr>
        <w:tabs>
          <w:tab w:val="left" w:pos="1080"/>
        </w:tabs>
        <w:adjustRightInd w:val="0"/>
        <w:snapToGrid w:val="0"/>
        <w:spacing w:before="0" w:after="0" w:line="500" w:lineRule="exact"/>
        <w:ind w:left="0" w:firstLine="499"/>
        <w:rPr>
          <w:bCs/>
          <w:color w:val="000000"/>
        </w:rPr>
      </w:pPr>
      <w:bookmarkStart w:id="13" w:name="_Toc137097506"/>
      <w:bookmarkStart w:id="14" w:name="_Toc153421201"/>
      <w:bookmarkStart w:id="15" w:name="_Toc162490415"/>
      <w:bookmarkStart w:id="16" w:name="_Toc272486028"/>
      <w:bookmarkStart w:id="17" w:name="_Toc323808542"/>
      <w:bookmarkStart w:id="18" w:name="_Toc323815358"/>
      <w:bookmarkStart w:id="19" w:name="_Toc368987578"/>
      <w:bookmarkStart w:id="20" w:name="_Toc432968419"/>
      <w:bookmarkStart w:id="21" w:name="_Toc432971921"/>
      <w:bookmarkStart w:id="22" w:name="_Toc443230587"/>
      <w:bookmarkStart w:id="23" w:name="_Toc508803957"/>
      <w:r>
        <w:rPr>
          <w:bCs/>
          <w:color w:val="000000"/>
        </w:rPr>
        <w:t>合同授予</w:t>
      </w:r>
      <w:bookmarkEnd w:id="13"/>
      <w:bookmarkEnd w:id="14"/>
      <w:bookmarkEnd w:id="15"/>
      <w:bookmarkEnd w:id="16"/>
      <w:bookmarkEnd w:id="17"/>
      <w:bookmarkEnd w:id="18"/>
      <w:bookmarkEnd w:id="19"/>
      <w:bookmarkEnd w:id="20"/>
      <w:bookmarkEnd w:id="21"/>
      <w:bookmarkEnd w:id="22"/>
      <w:bookmarkEnd w:id="23"/>
    </w:p>
    <w:p>
      <w:pPr>
        <w:widowControl/>
        <w:spacing w:line="440" w:lineRule="exact"/>
        <w:ind w:firstLine="480" w:firstLineChars="200"/>
        <w:jc w:val="left"/>
        <w:rPr>
          <w:rFonts w:ascii="宋体" w:hAnsi="宋体"/>
          <w:color w:val="000000"/>
          <w:sz w:val="24"/>
        </w:rPr>
      </w:pPr>
      <w:bookmarkStart w:id="24" w:name="_Toc137097507"/>
      <w:bookmarkStart w:id="25" w:name="_Toc323808543"/>
      <w:bookmarkStart w:id="26" w:name="_Toc323815359"/>
      <w:bookmarkStart w:id="27" w:name="_Toc368987579"/>
      <w:bookmarkStart w:id="28" w:name="_Toc432968420"/>
      <w:bookmarkStart w:id="29" w:name="_Toc432971922"/>
      <w:bookmarkStart w:id="30" w:name="_Toc443230588"/>
      <w:bookmarkStart w:id="31" w:name="_Toc508803958"/>
      <w:r>
        <w:rPr>
          <w:rFonts w:ascii="宋体" w:hAnsi="宋体"/>
          <w:color w:val="000000"/>
          <w:sz w:val="24"/>
        </w:rPr>
        <w:t>7.1 定标方式</w:t>
      </w:r>
      <w:bookmarkEnd w:id="24"/>
      <w:bookmarkEnd w:id="25"/>
      <w:bookmarkEnd w:id="26"/>
      <w:bookmarkEnd w:id="27"/>
      <w:bookmarkEnd w:id="28"/>
      <w:bookmarkEnd w:id="29"/>
      <w:bookmarkEnd w:id="30"/>
      <w:bookmarkEnd w:id="31"/>
    </w:p>
    <w:p>
      <w:pPr>
        <w:widowControl/>
        <w:spacing w:line="440" w:lineRule="exact"/>
        <w:ind w:firstLine="480" w:firstLineChars="200"/>
        <w:jc w:val="left"/>
        <w:rPr>
          <w:rFonts w:ascii="宋体" w:hAnsi="宋体"/>
          <w:color w:val="000000"/>
          <w:sz w:val="24"/>
        </w:rPr>
      </w:pPr>
      <w:r>
        <w:rPr>
          <w:rFonts w:ascii="宋体" w:hAnsi="宋体"/>
          <w:color w:val="000000"/>
          <w:sz w:val="24"/>
        </w:rPr>
        <w:t>招标人依据评审小组推荐的成交候选人确定成交人。</w:t>
      </w:r>
    </w:p>
    <w:p>
      <w:pPr>
        <w:widowControl/>
        <w:spacing w:line="440" w:lineRule="exact"/>
        <w:ind w:firstLine="480" w:firstLineChars="200"/>
        <w:jc w:val="left"/>
        <w:rPr>
          <w:rFonts w:ascii="宋体" w:hAnsi="宋体"/>
          <w:color w:val="000000"/>
          <w:sz w:val="24"/>
        </w:rPr>
      </w:pPr>
      <w:bookmarkStart w:id="32" w:name="_Toc137097508"/>
      <w:bookmarkStart w:id="33" w:name="_Toc323808544"/>
      <w:bookmarkStart w:id="34" w:name="_Toc323815360"/>
      <w:bookmarkStart w:id="35" w:name="_Toc368987580"/>
      <w:bookmarkStart w:id="36" w:name="_Toc432968421"/>
      <w:bookmarkStart w:id="37" w:name="_Toc432971923"/>
      <w:bookmarkStart w:id="38" w:name="_Toc443230589"/>
      <w:bookmarkStart w:id="39" w:name="_Toc508803959"/>
      <w:r>
        <w:rPr>
          <w:rFonts w:ascii="宋体" w:hAnsi="宋体"/>
          <w:color w:val="000000"/>
          <w:sz w:val="24"/>
        </w:rPr>
        <w:t>7.2 成交通知</w:t>
      </w:r>
      <w:bookmarkEnd w:id="32"/>
      <w:bookmarkEnd w:id="33"/>
      <w:bookmarkEnd w:id="34"/>
      <w:bookmarkEnd w:id="35"/>
      <w:bookmarkEnd w:id="36"/>
      <w:bookmarkEnd w:id="37"/>
      <w:bookmarkEnd w:id="38"/>
      <w:bookmarkEnd w:id="39"/>
    </w:p>
    <w:p>
      <w:pPr>
        <w:widowControl/>
        <w:spacing w:line="440" w:lineRule="exact"/>
        <w:ind w:firstLine="480" w:firstLineChars="200"/>
        <w:jc w:val="left"/>
        <w:rPr>
          <w:rFonts w:ascii="宋体" w:hAnsi="宋体"/>
          <w:color w:val="000000"/>
          <w:sz w:val="24"/>
        </w:rPr>
      </w:pPr>
      <w:r>
        <w:rPr>
          <w:rFonts w:ascii="宋体" w:hAnsi="宋体"/>
          <w:color w:val="000000"/>
          <w:sz w:val="24"/>
        </w:rPr>
        <w:t>在规定的响应有效期内，招标人以书面形式向成交人发出成交通知书，同时将中标结果通知未中标的供应商。</w:t>
      </w:r>
    </w:p>
    <w:p>
      <w:pPr>
        <w:widowControl/>
        <w:spacing w:line="440" w:lineRule="exact"/>
        <w:ind w:firstLine="480" w:firstLineChars="200"/>
        <w:jc w:val="left"/>
        <w:rPr>
          <w:rFonts w:ascii="宋体" w:hAnsi="宋体"/>
          <w:color w:val="000000"/>
          <w:sz w:val="24"/>
        </w:rPr>
      </w:pPr>
      <w:bookmarkStart w:id="40" w:name="_Toc137097510"/>
      <w:bookmarkStart w:id="41" w:name="_Toc323808546"/>
      <w:bookmarkStart w:id="42" w:name="_Toc323815362"/>
      <w:bookmarkStart w:id="43" w:name="_Toc368987582"/>
      <w:bookmarkStart w:id="44" w:name="_Toc432968423"/>
      <w:bookmarkStart w:id="45" w:name="_Toc432971925"/>
      <w:bookmarkStart w:id="46" w:name="_Toc443230591"/>
      <w:bookmarkStart w:id="47" w:name="_Toc508803961"/>
      <w:r>
        <w:rPr>
          <w:rFonts w:ascii="宋体" w:hAnsi="宋体"/>
          <w:color w:val="000000"/>
          <w:sz w:val="24"/>
        </w:rPr>
        <w:t>7.</w:t>
      </w:r>
      <w:r>
        <w:rPr>
          <w:rFonts w:hint="eastAsia" w:ascii="宋体" w:hAnsi="宋体"/>
          <w:color w:val="000000"/>
          <w:sz w:val="24"/>
        </w:rPr>
        <w:t>3</w:t>
      </w:r>
      <w:r>
        <w:rPr>
          <w:rFonts w:ascii="宋体" w:hAnsi="宋体"/>
          <w:color w:val="000000"/>
          <w:sz w:val="24"/>
        </w:rPr>
        <w:t xml:space="preserve"> 签订合同</w:t>
      </w:r>
      <w:bookmarkEnd w:id="40"/>
      <w:bookmarkEnd w:id="41"/>
      <w:bookmarkEnd w:id="42"/>
      <w:bookmarkEnd w:id="43"/>
      <w:bookmarkEnd w:id="44"/>
      <w:bookmarkEnd w:id="45"/>
      <w:bookmarkEnd w:id="46"/>
      <w:bookmarkEnd w:id="47"/>
    </w:p>
    <w:p>
      <w:pPr>
        <w:widowControl/>
        <w:spacing w:line="440" w:lineRule="exact"/>
        <w:ind w:firstLine="480" w:firstLineChars="200"/>
        <w:jc w:val="left"/>
        <w:rPr>
          <w:rFonts w:ascii="宋体" w:hAnsi="宋体"/>
          <w:color w:val="000000"/>
          <w:sz w:val="24"/>
        </w:rPr>
      </w:pPr>
      <w:r>
        <w:rPr>
          <w:rFonts w:ascii="宋体" w:hAnsi="宋体"/>
          <w:color w:val="000000"/>
          <w:sz w:val="24"/>
        </w:rPr>
        <w:t>7.4.1 招标人和成交人应当自成交通知书发出之日起30 天内，根据比选文件和成交人的响应文件订立书面合同。成交人无正当理由拒签合同的，招标人取消其中标资格，</w:t>
      </w:r>
      <w:r>
        <w:rPr>
          <w:rFonts w:ascii="宋体" w:hAnsi="宋体"/>
          <w:sz w:val="24"/>
        </w:rPr>
        <w:t>其响应保证金不予退还；</w:t>
      </w:r>
      <w:r>
        <w:rPr>
          <w:rFonts w:ascii="宋体" w:hAnsi="宋体"/>
          <w:color w:val="000000"/>
          <w:sz w:val="24"/>
        </w:rPr>
        <w:t>给招标人造成的损失超过响应保证金数额的，成交人还应当对超过部分予以赔偿。</w:t>
      </w:r>
    </w:p>
    <w:p>
      <w:pPr>
        <w:widowControl/>
        <w:spacing w:line="440" w:lineRule="exact"/>
        <w:ind w:firstLine="480" w:firstLineChars="200"/>
        <w:jc w:val="left"/>
        <w:rPr>
          <w:rFonts w:ascii="宋体" w:hAnsi="宋体"/>
          <w:color w:val="000000"/>
          <w:sz w:val="24"/>
        </w:rPr>
      </w:pPr>
      <w:bookmarkStart w:id="48" w:name="_Toc137097514"/>
      <w:bookmarkStart w:id="49" w:name="_Toc153421203"/>
      <w:bookmarkStart w:id="50" w:name="_Toc162490417"/>
      <w:bookmarkStart w:id="51" w:name="_Toc272486030"/>
      <w:bookmarkStart w:id="52" w:name="_Toc323808550"/>
      <w:bookmarkStart w:id="53" w:name="_Toc323815366"/>
      <w:bookmarkStart w:id="54" w:name="_Toc368987586"/>
      <w:bookmarkStart w:id="55" w:name="_Toc432968427"/>
      <w:bookmarkStart w:id="56" w:name="_Toc432971929"/>
      <w:bookmarkStart w:id="57" w:name="_Toc443230595"/>
      <w:bookmarkStart w:id="58" w:name="_Toc508803965"/>
      <w:r>
        <w:rPr>
          <w:rFonts w:hint="eastAsia" w:ascii="宋体" w:hAnsi="宋体"/>
          <w:color w:val="000000"/>
          <w:sz w:val="24"/>
        </w:rPr>
        <w:t>8</w:t>
      </w:r>
      <w:r>
        <w:rPr>
          <w:rFonts w:ascii="宋体" w:hAnsi="宋体"/>
          <w:color w:val="000000"/>
          <w:sz w:val="24"/>
        </w:rPr>
        <w:t>．纪律和监督</w:t>
      </w:r>
      <w:bookmarkEnd w:id="48"/>
      <w:bookmarkEnd w:id="49"/>
      <w:bookmarkEnd w:id="50"/>
      <w:bookmarkEnd w:id="51"/>
      <w:bookmarkEnd w:id="52"/>
      <w:bookmarkEnd w:id="53"/>
      <w:bookmarkEnd w:id="54"/>
      <w:bookmarkEnd w:id="55"/>
      <w:bookmarkEnd w:id="56"/>
      <w:bookmarkEnd w:id="57"/>
      <w:bookmarkEnd w:id="58"/>
    </w:p>
    <w:p>
      <w:pPr>
        <w:widowControl/>
        <w:spacing w:line="440" w:lineRule="exact"/>
        <w:ind w:firstLine="480" w:firstLineChars="200"/>
        <w:jc w:val="left"/>
        <w:rPr>
          <w:rFonts w:ascii="宋体" w:hAnsi="宋体"/>
          <w:color w:val="000000"/>
          <w:sz w:val="24"/>
        </w:rPr>
      </w:pPr>
      <w:bookmarkStart w:id="59" w:name="_Toc137097515"/>
      <w:bookmarkStart w:id="60" w:name="_Toc323808551"/>
      <w:bookmarkStart w:id="61" w:name="_Toc323815367"/>
      <w:bookmarkStart w:id="62" w:name="_Toc368987587"/>
      <w:bookmarkStart w:id="63" w:name="_Toc432971930"/>
      <w:bookmarkStart w:id="64" w:name="_Toc443230596"/>
      <w:bookmarkStart w:id="65" w:name="_Toc508803966"/>
      <w:r>
        <w:rPr>
          <w:rFonts w:hint="eastAsia" w:ascii="宋体" w:hAnsi="宋体"/>
          <w:color w:val="000000"/>
          <w:sz w:val="24"/>
        </w:rPr>
        <w:t>8</w:t>
      </w:r>
      <w:r>
        <w:rPr>
          <w:rFonts w:ascii="宋体" w:hAnsi="宋体"/>
          <w:color w:val="000000"/>
          <w:sz w:val="24"/>
        </w:rPr>
        <w:t>.1 对招标人的纪律要求</w:t>
      </w:r>
      <w:bookmarkEnd w:id="59"/>
      <w:bookmarkEnd w:id="60"/>
      <w:bookmarkEnd w:id="61"/>
      <w:bookmarkEnd w:id="62"/>
      <w:bookmarkEnd w:id="63"/>
      <w:bookmarkEnd w:id="64"/>
      <w:bookmarkEnd w:id="65"/>
    </w:p>
    <w:p>
      <w:pPr>
        <w:widowControl/>
        <w:spacing w:line="440" w:lineRule="exact"/>
        <w:ind w:firstLine="480" w:firstLineChars="200"/>
        <w:jc w:val="left"/>
        <w:rPr>
          <w:rFonts w:ascii="宋体" w:hAnsi="宋体"/>
          <w:color w:val="000000"/>
          <w:sz w:val="24"/>
        </w:rPr>
      </w:pPr>
      <w:r>
        <w:rPr>
          <w:rFonts w:ascii="宋体" w:hAnsi="宋体"/>
          <w:color w:val="000000"/>
          <w:sz w:val="24"/>
        </w:rPr>
        <w:t>招标人不得泄漏招标投标活动中应当保密的情况和资料，不得与供应商串通损害国家利益、社会公共利益或者他人合法权益。</w:t>
      </w:r>
    </w:p>
    <w:p>
      <w:pPr>
        <w:widowControl/>
        <w:spacing w:line="440" w:lineRule="exact"/>
        <w:ind w:firstLine="480" w:firstLineChars="200"/>
        <w:jc w:val="left"/>
        <w:rPr>
          <w:rFonts w:ascii="宋体" w:hAnsi="宋体"/>
          <w:color w:val="000000"/>
          <w:sz w:val="24"/>
        </w:rPr>
      </w:pPr>
      <w:bookmarkStart w:id="66" w:name="_Toc137097516"/>
      <w:bookmarkStart w:id="67" w:name="_Toc323808552"/>
      <w:bookmarkStart w:id="68" w:name="_Toc323815368"/>
      <w:bookmarkStart w:id="69" w:name="_Toc368987588"/>
      <w:bookmarkStart w:id="70" w:name="_Toc432971931"/>
      <w:bookmarkStart w:id="71" w:name="_Toc443230597"/>
      <w:bookmarkStart w:id="72" w:name="_Toc508803967"/>
      <w:r>
        <w:rPr>
          <w:rFonts w:hint="eastAsia" w:ascii="宋体" w:hAnsi="宋体"/>
          <w:color w:val="000000"/>
          <w:sz w:val="24"/>
        </w:rPr>
        <w:t>8</w:t>
      </w:r>
      <w:r>
        <w:rPr>
          <w:rFonts w:ascii="宋体" w:hAnsi="宋体"/>
          <w:color w:val="000000"/>
          <w:sz w:val="24"/>
        </w:rPr>
        <w:t>.2 对供应商的纪律要求</w:t>
      </w:r>
      <w:bookmarkEnd w:id="66"/>
      <w:bookmarkEnd w:id="67"/>
      <w:bookmarkEnd w:id="68"/>
      <w:bookmarkEnd w:id="69"/>
      <w:bookmarkEnd w:id="70"/>
      <w:bookmarkEnd w:id="71"/>
      <w:bookmarkEnd w:id="72"/>
    </w:p>
    <w:p>
      <w:pPr>
        <w:widowControl/>
        <w:spacing w:line="440" w:lineRule="exact"/>
        <w:ind w:firstLine="480" w:firstLineChars="200"/>
        <w:jc w:val="left"/>
        <w:rPr>
          <w:rFonts w:ascii="宋体" w:hAnsi="宋体"/>
          <w:color w:val="000000"/>
          <w:sz w:val="24"/>
        </w:rPr>
      </w:pPr>
      <w:r>
        <w:rPr>
          <w:rFonts w:ascii="宋体" w:hAnsi="宋体"/>
          <w:color w:val="000000"/>
          <w:sz w:val="24"/>
        </w:rPr>
        <w:t>供应商不得相互串通投标或者与招标人串通投标，不得向招标人或者评审小组成员行贿谋取中标，不得以他人名义投标或者以其他方式弄虚作假骗取中标；供应商不得以任何方式干扰、影响评标工作。</w:t>
      </w:r>
    </w:p>
    <w:p>
      <w:pPr>
        <w:widowControl/>
        <w:spacing w:line="440" w:lineRule="exact"/>
        <w:ind w:firstLine="480" w:firstLineChars="200"/>
        <w:jc w:val="left"/>
        <w:rPr>
          <w:rFonts w:ascii="宋体" w:hAnsi="宋体"/>
          <w:color w:val="000000"/>
          <w:sz w:val="24"/>
        </w:rPr>
      </w:pPr>
      <w:bookmarkStart w:id="73" w:name="_Toc137097517"/>
      <w:bookmarkStart w:id="74" w:name="_Toc323808553"/>
      <w:bookmarkStart w:id="75" w:name="_Toc323815369"/>
      <w:bookmarkStart w:id="76" w:name="_Toc368987589"/>
      <w:bookmarkStart w:id="77" w:name="_Toc432971932"/>
      <w:bookmarkStart w:id="78" w:name="_Toc443230598"/>
      <w:bookmarkStart w:id="79" w:name="_Toc508803968"/>
      <w:r>
        <w:rPr>
          <w:rFonts w:hint="eastAsia" w:ascii="宋体" w:hAnsi="宋体"/>
          <w:color w:val="000000"/>
          <w:sz w:val="24"/>
        </w:rPr>
        <w:t>8</w:t>
      </w:r>
      <w:r>
        <w:rPr>
          <w:rFonts w:ascii="宋体" w:hAnsi="宋体"/>
          <w:color w:val="000000"/>
          <w:sz w:val="24"/>
        </w:rPr>
        <w:t>.3 对评审小组成员的纪律要求</w:t>
      </w:r>
      <w:bookmarkEnd w:id="73"/>
      <w:bookmarkEnd w:id="74"/>
      <w:bookmarkEnd w:id="75"/>
      <w:bookmarkEnd w:id="76"/>
      <w:bookmarkEnd w:id="77"/>
      <w:bookmarkEnd w:id="78"/>
      <w:bookmarkEnd w:id="79"/>
    </w:p>
    <w:p>
      <w:pPr>
        <w:widowControl/>
        <w:spacing w:line="440" w:lineRule="exact"/>
        <w:ind w:firstLine="480" w:firstLineChars="200"/>
        <w:jc w:val="left"/>
        <w:rPr>
          <w:rFonts w:ascii="宋体" w:hAnsi="宋体"/>
          <w:color w:val="000000"/>
          <w:sz w:val="24"/>
        </w:rPr>
      </w:pPr>
      <w:r>
        <w:rPr>
          <w:rFonts w:ascii="宋体" w:hAnsi="宋体"/>
          <w:color w:val="000000"/>
          <w:sz w:val="24"/>
        </w:rPr>
        <w:t>评审小组成员不得收受他人的财物或者其他好处，不得向他人透漏对响应文件的评审和比较、成交候选人的推荐情况以及评标有关的其他情况。在评标活动中，评审小组成员不得擅离职守，影响评标程序正常进行，不得使用</w:t>
      </w:r>
      <w:r>
        <w:rPr>
          <w:rFonts w:hint="eastAsia" w:ascii="宋体" w:hAnsi="宋体"/>
          <w:color w:val="000000"/>
          <w:sz w:val="24"/>
        </w:rPr>
        <w:t>本比选文件</w:t>
      </w:r>
      <w:r>
        <w:rPr>
          <w:rFonts w:ascii="宋体" w:hAnsi="宋体"/>
          <w:color w:val="000000"/>
          <w:sz w:val="24"/>
        </w:rPr>
        <w:t>没有规定的评审因素和标准进行评标。</w:t>
      </w:r>
    </w:p>
    <w:p>
      <w:pPr>
        <w:widowControl/>
        <w:spacing w:line="440" w:lineRule="exact"/>
        <w:ind w:firstLine="480" w:firstLineChars="200"/>
        <w:jc w:val="left"/>
        <w:rPr>
          <w:rFonts w:ascii="宋体" w:hAnsi="宋体"/>
          <w:color w:val="000000"/>
          <w:sz w:val="24"/>
        </w:rPr>
      </w:pPr>
      <w:bookmarkStart w:id="80" w:name="_Toc137097518"/>
      <w:bookmarkStart w:id="81" w:name="_Toc323808554"/>
      <w:bookmarkStart w:id="82" w:name="_Toc323815370"/>
      <w:bookmarkStart w:id="83" w:name="_Toc368987590"/>
      <w:bookmarkStart w:id="84" w:name="_Toc432971933"/>
      <w:bookmarkStart w:id="85" w:name="_Toc443230599"/>
      <w:bookmarkStart w:id="86" w:name="_Toc508803969"/>
      <w:r>
        <w:rPr>
          <w:rFonts w:hint="eastAsia" w:ascii="宋体" w:hAnsi="宋体"/>
          <w:color w:val="000000"/>
          <w:sz w:val="24"/>
        </w:rPr>
        <w:t>8</w:t>
      </w:r>
      <w:r>
        <w:rPr>
          <w:rFonts w:ascii="宋体" w:hAnsi="宋体"/>
          <w:color w:val="000000"/>
          <w:sz w:val="24"/>
        </w:rPr>
        <w:t>.4 对与评标活动有关的工作人员的纪律要求</w:t>
      </w:r>
      <w:bookmarkEnd w:id="80"/>
      <w:bookmarkEnd w:id="81"/>
      <w:bookmarkEnd w:id="82"/>
      <w:bookmarkEnd w:id="83"/>
      <w:bookmarkEnd w:id="84"/>
      <w:bookmarkEnd w:id="85"/>
      <w:bookmarkEnd w:id="86"/>
    </w:p>
    <w:p>
      <w:pPr>
        <w:widowControl/>
        <w:spacing w:line="440" w:lineRule="exact"/>
        <w:ind w:firstLine="480" w:firstLineChars="200"/>
        <w:jc w:val="left"/>
        <w:rPr>
          <w:rFonts w:ascii="宋体" w:hAnsi="宋体"/>
          <w:color w:val="000000"/>
          <w:sz w:val="24"/>
        </w:rPr>
      </w:pPr>
      <w:r>
        <w:rPr>
          <w:rFonts w:ascii="宋体" w:hAnsi="宋体"/>
          <w:color w:val="000000"/>
          <w:sz w:val="24"/>
        </w:rPr>
        <w:t>与评标活动有关的工作人员不得收受他人的财物或者其他好处，不得向他人透漏对响应文件的评审和比较、成交候选人的推荐情况以及评标有关的其他情况。在评标活动中，与评标活动有关的工作人员不得擅离职守，影响评标程序正常进行。</w:t>
      </w:r>
    </w:p>
    <w:p>
      <w:pPr>
        <w:adjustRightInd w:val="0"/>
        <w:snapToGrid w:val="0"/>
        <w:spacing w:line="520" w:lineRule="exact"/>
        <w:ind w:firstLine="502"/>
        <w:rPr>
          <w:rStyle w:val="51"/>
          <w:rFonts w:ascii="宋体" w:hAnsi="宋体"/>
          <w:color w:val="000000"/>
        </w:rPr>
      </w:pPr>
    </w:p>
    <w:p>
      <w:pPr>
        <w:rPr>
          <w:rFonts w:ascii="宋体" w:hAnsi="宋体"/>
          <w:color w:val="000000"/>
          <w:sz w:val="32"/>
          <w:szCs w:val="32"/>
        </w:rPr>
      </w:pPr>
    </w:p>
    <w:p>
      <w:pPr>
        <w:rPr>
          <w:rFonts w:ascii="宋体" w:hAnsi="宋体"/>
          <w:color w:val="000000"/>
          <w:sz w:val="32"/>
          <w:szCs w:val="32"/>
        </w:rPr>
      </w:pPr>
    </w:p>
    <w:p>
      <w:pPr>
        <w:pStyle w:val="2"/>
        <w:rPr>
          <w:rFonts w:ascii="宋体" w:hAnsi="宋体" w:eastAsia="宋体"/>
          <w:color w:val="000000"/>
          <w:sz w:val="48"/>
          <w:szCs w:val="18"/>
        </w:rPr>
      </w:pPr>
      <w:r>
        <w:rPr>
          <w:rFonts w:ascii="宋体" w:hAnsi="宋体" w:eastAsia="宋体"/>
          <w:color w:val="000000"/>
          <w:sz w:val="32"/>
          <w:szCs w:val="32"/>
        </w:rPr>
        <w:br w:type="page"/>
      </w:r>
      <w:bookmarkStart w:id="87" w:name="_Toc16324"/>
      <w:bookmarkStart w:id="88" w:name="_Toc21908"/>
      <w:bookmarkStart w:id="89" w:name="OLE_LINK3"/>
      <w:r>
        <w:rPr>
          <w:rFonts w:hint="eastAsia" w:ascii="宋体" w:hAnsi="宋体" w:eastAsia="宋体"/>
          <w:color w:val="000000"/>
          <w:sz w:val="48"/>
          <w:szCs w:val="18"/>
        </w:rPr>
        <w:t>二、评审办法</w:t>
      </w:r>
    </w:p>
    <w:p/>
    <w:p>
      <w:pPr>
        <w:keepNext/>
        <w:widowControl/>
        <w:numPr>
          <w:ilvl w:val="0"/>
          <w:numId w:val="1"/>
        </w:numPr>
        <w:jc w:val="center"/>
        <w:outlineLvl w:val="0"/>
        <w:rPr>
          <w:rFonts w:ascii="宋体" w:hAnsi="宋体"/>
          <w:color w:val="000000"/>
          <w:kern w:val="0"/>
          <w:sz w:val="44"/>
          <w:szCs w:val="16"/>
        </w:rPr>
      </w:pPr>
      <w:r>
        <w:rPr>
          <w:rFonts w:hint="eastAsia" w:ascii="宋体" w:hAnsi="宋体"/>
          <w:color w:val="000000"/>
          <w:kern w:val="0"/>
          <w:sz w:val="44"/>
          <w:szCs w:val="16"/>
        </w:rPr>
        <w:t>（多次报价后执行有效最低价合格制评审法且开标当天不宣布中标结果，潜在投标供应商如不认可本评审办法可拒绝投标。）</w:t>
      </w:r>
    </w:p>
    <w:p>
      <w:pPr>
        <w:jc w:val="center"/>
        <w:rPr>
          <w:rFonts w:ascii="宋体" w:hAnsi="宋体" w:cs="仿宋_GB2312"/>
          <w:b/>
          <w:color w:val="000000"/>
          <w:kern w:val="0"/>
          <w:sz w:val="24"/>
        </w:rPr>
      </w:pPr>
      <w:bookmarkStart w:id="90" w:name="OLE_LINK10"/>
    </w:p>
    <w:bookmarkEnd w:id="90"/>
    <w:p>
      <w:pPr>
        <w:keepNext/>
        <w:keepLines/>
        <w:spacing w:before="260" w:after="260" w:line="415" w:lineRule="auto"/>
        <w:jc w:val="center"/>
        <w:outlineLvl w:val="1"/>
        <w:rPr>
          <w:rFonts w:ascii="宋体" w:hAnsi="宋体"/>
          <w:b/>
          <w:bCs/>
          <w:color w:val="000000"/>
          <w:sz w:val="32"/>
          <w:szCs w:val="32"/>
        </w:rPr>
      </w:pPr>
      <w:bookmarkStart w:id="91" w:name="_Toc439064240"/>
      <w:bookmarkStart w:id="92" w:name="_Toc532910212"/>
      <w:bookmarkStart w:id="93" w:name="_Toc532910491"/>
      <w:r>
        <w:rPr>
          <w:rFonts w:hint="eastAsia" w:ascii="宋体" w:hAnsi="宋体"/>
          <w:b/>
          <w:bCs/>
          <w:color w:val="000000"/>
          <w:sz w:val="32"/>
          <w:szCs w:val="32"/>
        </w:rPr>
        <w:t>评标办法前附表</w:t>
      </w:r>
      <w:bookmarkEnd w:id="91"/>
      <w:bookmarkEnd w:id="92"/>
      <w:bookmarkEnd w:id="93"/>
    </w:p>
    <w:p>
      <w:pPr>
        <w:keepNext/>
        <w:keepLines/>
        <w:numPr>
          <w:ilvl w:val="0"/>
          <w:numId w:val="3"/>
        </w:numPr>
        <w:spacing w:before="240" w:after="240" w:line="415" w:lineRule="auto"/>
        <w:jc w:val="center"/>
        <w:outlineLvl w:val="1"/>
        <w:rPr>
          <w:rFonts w:ascii="宋体" w:hAnsi="宋体"/>
          <w:b/>
          <w:bCs/>
          <w:color w:val="000000"/>
          <w:sz w:val="28"/>
          <w:szCs w:val="28"/>
        </w:rPr>
      </w:pPr>
      <w:r>
        <w:rPr>
          <w:rFonts w:ascii="宋体" w:hAnsi="宋体"/>
          <w:color w:val="000000"/>
        </w:rPr>
        <w:br w:type="page"/>
      </w:r>
      <w:bookmarkEnd w:id="87"/>
      <w:bookmarkEnd w:id="88"/>
      <w:bookmarkEnd w:id="89"/>
      <w:bookmarkStart w:id="94" w:name="_Toc439064241"/>
      <w:bookmarkStart w:id="95" w:name="_Toc532910213"/>
      <w:bookmarkStart w:id="96" w:name="_Toc532910492"/>
      <w:r>
        <w:rPr>
          <w:rFonts w:hint="eastAsia" w:ascii="宋体" w:hAnsi="宋体"/>
          <w:b/>
          <w:bCs/>
          <w:color w:val="000000"/>
          <w:sz w:val="28"/>
          <w:szCs w:val="28"/>
        </w:rPr>
        <w:t>资格审查标准</w:t>
      </w:r>
      <w:bookmarkEnd w:id="94"/>
      <w:bookmarkEnd w:id="95"/>
      <w:bookmarkEnd w:id="96"/>
    </w:p>
    <w:tbl>
      <w:tblPr>
        <w:tblStyle w:val="48"/>
        <w:tblW w:w="5213" w:type="pct"/>
        <w:tblInd w:w="-276" w:type="dxa"/>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Layout w:type="fixed"/>
        <w:tblCellMar>
          <w:top w:w="0" w:type="dxa"/>
          <w:left w:w="0" w:type="dxa"/>
          <w:bottom w:w="0" w:type="dxa"/>
          <w:right w:w="0" w:type="dxa"/>
        </w:tblCellMar>
      </w:tblPr>
      <w:tblGrid>
        <w:gridCol w:w="775"/>
        <w:gridCol w:w="2028"/>
        <w:gridCol w:w="6672"/>
      </w:tblGrid>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540" w:hRule="atLeast"/>
        </w:trPr>
        <w:tc>
          <w:tcPr>
            <w:tcW w:w="409" w:type="pct"/>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r>
              <w:rPr>
                <w:b/>
                <w:bCs/>
                <w:color w:val="000000"/>
                <w:kern w:val="0"/>
                <w:szCs w:val="21"/>
              </w:rPr>
              <w:t>条款号</w:t>
            </w:r>
          </w:p>
        </w:tc>
        <w:tc>
          <w:tcPr>
            <w:tcW w:w="1070" w:type="pct"/>
            <w:tcBorders>
              <w:top w:val="outset" w:color="auto" w:sz="6" w:space="0"/>
              <w:left w:val="outset" w:color="auto" w:sz="6" w:space="0"/>
              <w:bottom w:val="outset" w:color="auto" w:sz="6" w:space="0"/>
              <w:right w:val="outset" w:color="auto" w:sz="6" w:space="0"/>
            </w:tcBorders>
            <w:vAlign w:val="center"/>
          </w:tcPr>
          <w:p>
            <w:pPr>
              <w:widowControl/>
              <w:ind w:firstLine="105" w:firstLineChars="50"/>
              <w:jc w:val="left"/>
              <w:rPr>
                <w:color w:val="000000"/>
                <w:kern w:val="0"/>
                <w:szCs w:val="21"/>
              </w:rPr>
            </w:pPr>
            <w:r>
              <w:rPr>
                <w:b/>
                <w:bCs/>
                <w:color w:val="000000"/>
                <w:kern w:val="0"/>
                <w:szCs w:val="21"/>
              </w:rPr>
              <w:t>评审因素</w:t>
            </w:r>
          </w:p>
        </w:tc>
        <w:tc>
          <w:tcPr>
            <w:tcW w:w="3521" w:type="pct"/>
            <w:tcBorders>
              <w:top w:val="outset" w:color="auto" w:sz="6" w:space="0"/>
              <w:left w:val="outset" w:color="auto" w:sz="6" w:space="0"/>
              <w:bottom w:val="outset" w:color="auto" w:sz="6" w:space="0"/>
              <w:right w:val="outset" w:color="auto" w:sz="6" w:space="0"/>
            </w:tcBorders>
            <w:vAlign w:val="center"/>
          </w:tcPr>
          <w:p>
            <w:pPr>
              <w:widowControl/>
              <w:ind w:firstLine="105" w:firstLineChars="50"/>
              <w:jc w:val="left"/>
              <w:rPr>
                <w:color w:val="000000"/>
                <w:kern w:val="0"/>
                <w:szCs w:val="21"/>
              </w:rPr>
            </w:pPr>
            <w:r>
              <w:rPr>
                <w:b/>
                <w:bCs/>
                <w:color w:val="000000"/>
                <w:kern w:val="0"/>
                <w:szCs w:val="21"/>
              </w:rPr>
              <w:t>评审标准</w:t>
            </w:r>
          </w:p>
        </w:tc>
      </w:tr>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788" w:hRule="atLeast"/>
        </w:trPr>
        <w:tc>
          <w:tcPr>
            <w:tcW w:w="409" w:type="pct"/>
            <w:tcBorders>
              <w:top w:val="single" w:color="auto" w:sz="4" w:space="0"/>
              <w:left w:val="single" w:color="auto" w:sz="4" w:space="0"/>
              <w:bottom w:val="single" w:color="auto" w:sz="4" w:space="0"/>
              <w:right w:val="single" w:color="auto" w:sz="4" w:space="0"/>
            </w:tcBorders>
            <w:vAlign w:val="center"/>
          </w:tcPr>
          <w:p>
            <w:pPr>
              <w:widowControl/>
              <w:jc w:val="center"/>
              <w:rPr>
                <w:color w:val="000000"/>
                <w:kern w:val="0"/>
                <w:szCs w:val="21"/>
              </w:rPr>
            </w:pPr>
            <w:r>
              <w:rPr>
                <w:rFonts w:hint="eastAsia"/>
                <w:b/>
                <w:bCs/>
                <w:color w:val="000000"/>
                <w:kern w:val="0"/>
                <w:szCs w:val="21"/>
              </w:rPr>
              <w:t>3.1</w:t>
            </w:r>
          </w:p>
        </w:tc>
        <w:tc>
          <w:tcPr>
            <w:tcW w:w="1070" w:type="pct"/>
            <w:tcBorders>
              <w:top w:val="single" w:color="auto" w:sz="4" w:space="0"/>
              <w:left w:val="single" w:color="auto" w:sz="4" w:space="0"/>
              <w:bottom w:val="single" w:color="auto" w:sz="4" w:space="0"/>
              <w:right w:val="outset" w:color="auto" w:sz="6" w:space="0"/>
            </w:tcBorders>
            <w:vAlign w:val="center"/>
          </w:tcPr>
          <w:p>
            <w:pPr>
              <w:widowControl/>
              <w:jc w:val="center"/>
              <w:rPr>
                <w:b/>
                <w:bCs/>
                <w:color w:val="000000"/>
                <w:kern w:val="0"/>
                <w:szCs w:val="21"/>
              </w:rPr>
            </w:pPr>
            <w:r>
              <w:rPr>
                <w:b/>
                <w:bCs/>
                <w:color w:val="000000"/>
                <w:kern w:val="0"/>
                <w:szCs w:val="21"/>
              </w:rPr>
              <w:t>资格审查</w:t>
            </w:r>
          </w:p>
          <w:p>
            <w:pPr>
              <w:widowControl/>
              <w:jc w:val="center"/>
              <w:rPr>
                <w:color w:val="000000"/>
                <w:kern w:val="0"/>
                <w:szCs w:val="21"/>
              </w:rPr>
            </w:pPr>
            <w:r>
              <w:rPr>
                <w:b/>
                <w:bCs/>
                <w:color w:val="000000"/>
                <w:kern w:val="0"/>
                <w:szCs w:val="21"/>
              </w:rPr>
              <w:t>评审标准</w:t>
            </w:r>
          </w:p>
        </w:tc>
        <w:tc>
          <w:tcPr>
            <w:tcW w:w="3521" w:type="pct"/>
            <w:tcBorders>
              <w:top w:val="outset" w:color="auto" w:sz="6" w:space="0"/>
              <w:left w:val="outset" w:color="auto" w:sz="6" w:space="0"/>
              <w:bottom w:val="outset" w:color="auto" w:sz="6" w:space="0"/>
              <w:right w:val="outset" w:color="auto" w:sz="6" w:space="0"/>
            </w:tcBorders>
            <w:tcMar>
              <w:left w:w="75" w:type="dxa"/>
            </w:tcMar>
            <w:vAlign w:val="center"/>
          </w:tcPr>
          <w:p>
            <w:pPr>
              <w:jc w:val="left"/>
              <w:rPr>
                <w:color w:val="000000"/>
                <w:kern w:val="0"/>
                <w:szCs w:val="21"/>
              </w:rPr>
            </w:pPr>
            <w:r>
              <w:rPr>
                <w:rFonts w:hint="eastAsia"/>
                <w:color w:val="000000"/>
                <w:kern w:val="0"/>
                <w:szCs w:val="21"/>
              </w:rPr>
              <w:t>见比选公告“五、供应商资格条件”相关内容。</w:t>
            </w:r>
          </w:p>
        </w:tc>
      </w:tr>
    </w:tbl>
    <w:p>
      <w:pPr>
        <w:tabs>
          <w:tab w:val="left" w:pos="945"/>
        </w:tabs>
        <w:snapToGrid w:val="0"/>
        <w:spacing w:line="360" w:lineRule="auto"/>
        <w:rPr>
          <w:rFonts w:ascii="宋体" w:hAnsi="宋体"/>
          <w:b/>
          <w:color w:val="000000"/>
          <w:szCs w:val="21"/>
        </w:rPr>
      </w:pPr>
      <w:r>
        <w:rPr>
          <w:rFonts w:hint="eastAsia" w:ascii="宋体" w:hAnsi="宋体"/>
          <w:b/>
          <w:color w:val="000000"/>
          <w:szCs w:val="21"/>
        </w:rPr>
        <w:t>注 ：</w:t>
      </w:r>
    </w:p>
    <w:p>
      <w:pPr>
        <w:tabs>
          <w:tab w:val="left" w:pos="0"/>
        </w:tabs>
        <w:snapToGrid w:val="0"/>
        <w:spacing w:line="360" w:lineRule="auto"/>
        <w:rPr>
          <w:rFonts w:ascii="宋体" w:hAnsi="宋体"/>
          <w:color w:val="000000"/>
          <w:szCs w:val="21"/>
        </w:rPr>
      </w:pPr>
      <w:r>
        <w:rPr>
          <w:rFonts w:hint="eastAsia" w:ascii="宋体" w:hAnsi="宋体"/>
          <w:color w:val="000000"/>
          <w:szCs w:val="21"/>
        </w:rPr>
        <w:t>1、以上所有内容必须全部通过方为合格。</w:t>
      </w:r>
    </w:p>
    <w:p>
      <w:pPr>
        <w:tabs>
          <w:tab w:val="left" w:pos="0"/>
        </w:tabs>
        <w:snapToGrid w:val="0"/>
        <w:spacing w:line="360" w:lineRule="auto"/>
        <w:rPr>
          <w:rFonts w:ascii="宋体" w:hAnsi="宋体"/>
          <w:color w:val="000000"/>
          <w:szCs w:val="21"/>
        </w:rPr>
      </w:pPr>
      <w:r>
        <w:rPr>
          <w:rFonts w:hint="eastAsia" w:ascii="宋体" w:hAnsi="宋体"/>
          <w:color w:val="000000"/>
          <w:szCs w:val="21"/>
        </w:rPr>
        <w:t>2、以上评审内容（除信用要求外）均应在投标文件中体现（指附有复印件或扫描件或影印件等），未体现的视为资格审查不通过。</w:t>
      </w:r>
    </w:p>
    <w:p>
      <w:pPr>
        <w:tabs>
          <w:tab w:val="left" w:pos="0"/>
        </w:tabs>
        <w:snapToGrid w:val="0"/>
        <w:spacing w:line="360" w:lineRule="auto"/>
        <w:rPr>
          <w:rFonts w:ascii="宋体" w:hAnsi="宋体"/>
          <w:color w:val="000000"/>
          <w:szCs w:val="21"/>
        </w:rPr>
      </w:pPr>
      <w:r>
        <w:rPr>
          <w:rFonts w:hint="eastAsia" w:ascii="宋体" w:hAnsi="宋体"/>
          <w:color w:val="000000"/>
          <w:szCs w:val="21"/>
        </w:rPr>
        <w:t>3、供应商提供的与投标有关的各类证书、证明、文件、资料等（含主体信息库上传资料）的真实性、合法性由供应商负全责。如发现供应商有弄虚作假或提供不实信息以骗取中标的行为，无论在投标有效期内还是在工程实施过程中，一经发现，将被取消其中标资格或终止合同，视为企业不诚信行为。</w:t>
      </w:r>
    </w:p>
    <w:p>
      <w:pPr>
        <w:keepNext/>
        <w:keepLines/>
        <w:numPr>
          <w:ilvl w:val="0"/>
          <w:numId w:val="3"/>
        </w:numPr>
        <w:spacing w:before="240" w:after="240" w:line="415" w:lineRule="auto"/>
        <w:jc w:val="center"/>
        <w:outlineLvl w:val="1"/>
        <w:rPr>
          <w:rFonts w:ascii="宋体" w:hAnsi="宋体"/>
          <w:b/>
          <w:bCs/>
          <w:color w:val="000000"/>
          <w:sz w:val="28"/>
          <w:szCs w:val="28"/>
        </w:rPr>
      </w:pPr>
      <w:bookmarkStart w:id="97" w:name="_Toc439064242"/>
      <w:bookmarkStart w:id="98" w:name="_Toc532910214"/>
      <w:bookmarkStart w:id="99" w:name="_Toc532910493"/>
      <w:r>
        <w:rPr>
          <w:rFonts w:hint="eastAsia" w:ascii="宋体" w:hAnsi="宋体"/>
          <w:b/>
          <w:bCs/>
          <w:color w:val="000000"/>
          <w:sz w:val="28"/>
          <w:szCs w:val="28"/>
        </w:rPr>
        <w:t>商务标评审标准</w:t>
      </w:r>
      <w:bookmarkEnd w:id="97"/>
      <w:bookmarkEnd w:id="98"/>
      <w:bookmarkEnd w:id="99"/>
    </w:p>
    <w:tbl>
      <w:tblPr>
        <w:tblStyle w:val="48"/>
        <w:tblW w:w="5000" w:type="pct"/>
        <w:tblInd w:w="0" w:type="dxa"/>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Layout w:type="autofit"/>
        <w:tblCellMar>
          <w:top w:w="0" w:type="dxa"/>
          <w:left w:w="0" w:type="dxa"/>
          <w:bottom w:w="0" w:type="dxa"/>
          <w:right w:w="0" w:type="dxa"/>
        </w:tblCellMar>
      </w:tblPr>
      <w:tblGrid>
        <w:gridCol w:w="648"/>
        <w:gridCol w:w="420"/>
        <w:gridCol w:w="931"/>
        <w:gridCol w:w="7089"/>
      </w:tblGrid>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540" w:hRule="atLeast"/>
        </w:trPr>
        <w:tc>
          <w:tcPr>
            <w:tcW w:w="0" w:type="auto"/>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r>
              <w:rPr>
                <w:b/>
                <w:bCs/>
                <w:color w:val="000000"/>
                <w:kern w:val="0"/>
                <w:szCs w:val="21"/>
              </w:rPr>
              <w:t>条款号</w:t>
            </w:r>
          </w:p>
        </w:tc>
        <w:tc>
          <w:tcPr>
            <w:tcW w:w="0" w:type="auto"/>
            <w:gridSpan w:val="2"/>
            <w:tcBorders>
              <w:top w:val="outset" w:color="auto" w:sz="6" w:space="0"/>
              <w:left w:val="outset" w:color="auto" w:sz="6" w:space="0"/>
              <w:bottom w:val="outset" w:color="auto" w:sz="6" w:space="0"/>
              <w:right w:val="outset" w:color="auto" w:sz="6" w:space="0"/>
            </w:tcBorders>
            <w:vAlign w:val="center"/>
          </w:tcPr>
          <w:p>
            <w:pPr>
              <w:widowControl/>
              <w:ind w:firstLine="105" w:firstLineChars="50"/>
              <w:jc w:val="left"/>
              <w:rPr>
                <w:color w:val="000000"/>
                <w:kern w:val="0"/>
                <w:szCs w:val="21"/>
              </w:rPr>
            </w:pPr>
            <w:r>
              <w:rPr>
                <w:b/>
                <w:bCs/>
                <w:color w:val="000000"/>
                <w:kern w:val="0"/>
                <w:szCs w:val="21"/>
              </w:rPr>
              <w:t>评审因素</w:t>
            </w:r>
          </w:p>
        </w:tc>
        <w:tc>
          <w:tcPr>
            <w:tcW w:w="0" w:type="auto"/>
            <w:tcBorders>
              <w:top w:val="outset" w:color="auto" w:sz="6" w:space="0"/>
              <w:left w:val="outset" w:color="auto" w:sz="6" w:space="0"/>
              <w:bottom w:val="outset" w:color="auto" w:sz="6" w:space="0"/>
              <w:right w:val="outset" w:color="auto" w:sz="6" w:space="0"/>
            </w:tcBorders>
            <w:vAlign w:val="center"/>
          </w:tcPr>
          <w:p>
            <w:pPr>
              <w:widowControl/>
              <w:ind w:firstLine="105" w:firstLineChars="50"/>
              <w:jc w:val="left"/>
              <w:rPr>
                <w:color w:val="000000"/>
                <w:kern w:val="0"/>
                <w:szCs w:val="21"/>
              </w:rPr>
            </w:pPr>
            <w:r>
              <w:rPr>
                <w:b/>
                <w:bCs/>
                <w:color w:val="000000"/>
                <w:kern w:val="0"/>
                <w:szCs w:val="21"/>
              </w:rPr>
              <w:t>评分方法</w:t>
            </w:r>
          </w:p>
        </w:tc>
      </w:tr>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510" w:hRule="atLeast"/>
        </w:trPr>
        <w:tc>
          <w:tcPr>
            <w:tcW w:w="648" w:type="dxa"/>
            <w:vMerge w:val="restart"/>
            <w:tcBorders>
              <w:top w:val="outset" w:color="auto" w:sz="6" w:space="0"/>
              <w:left w:val="outset" w:color="auto" w:sz="6" w:space="0"/>
              <w:bottom w:val="outset" w:color="auto" w:sz="6" w:space="0"/>
              <w:right w:val="outset" w:color="auto" w:sz="6" w:space="0"/>
            </w:tcBorders>
            <w:vAlign w:val="center"/>
          </w:tcPr>
          <w:p>
            <w:pPr>
              <w:widowControl/>
              <w:jc w:val="center"/>
              <w:rPr>
                <w:b/>
                <w:bCs/>
                <w:color w:val="000000"/>
                <w:kern w:val="0"/>
                <w:szCs w:val="21"/>
              </w:rPr>
            </w:pPr>
            <w:r>
              <w:rPr>
                <w:b/>
                <w:bCs/>
                <w:color w:val="000000"/>
                <w:kern w:val="0"/>
                <w:szCs w:val="21"/>
              </w:rPr>
              <w:t>3.1</w:t>
            </w:r>
          </w:p>
          <w:p>
            <w:pPr>
              <w:widowControl/>
              <w:jc w:val="center"/>
              <w:rPr>
                <w:b/>
                <w:bCs/>
                <w:color w:val="000000"/>
                <w:kern w:val="0"/>
                <w:szCs w:val="21"/>
              </w:rPr>
            </w:pPr>
            <w:r>
              <w:rPr>
                <w:rFonts w:hint="eastAsia"/>
                <w:b/>
                <w:bCs/>
                <w:color w:val="000000"/>
                <w:kern w:val="0"/>
                <w:szCs w:val="21"/>
              </w:rPr>
              <w:t>3.2</w:t>
            </w:r>
          </w:p>
          <w:p>
            <w:pPr>
              <w:widowControl/>
              <w:jc w:val="center"/>
              <w:rPr>
                <w:color w:val="000000"/>
                <w:kern w:val="0"/>
                <w:szCs w:val="21"/>
              </w:rPr>
            </w:pPr>
            <w:r>
              <w:rPr>
                <w:b/>
                <w:bCs/>
                <w:color w:val="000000"/>
                <w:kern w:val="0"/>
                <w:szCs w:val="21"/>
              </w:rPr>
              <w:t>3.6</w:t>
            </w:r>
          </w:p>
        </w:tc>
        <w:tc>
          <w:tcPr>
            <w:tcW w:w="420" w:type="dxa"/>
            <w:vMerge w:val="restart"/>
            <w:tcBorders>
              <w:top w:val="outset" w:color="auto" w:sz="6" w:space="0"/>
              <w:left w:val="outset" w:color="auto" w:sz="6" w:space="0"/>
              <w:bottom w:val="outset" w:color="auto" w:sz="6" w:space="0"/>
              <w:right w:val="outset" w:color="auto" w:sz="6" w:space="0"/>
            </w:tcBorders>
            <w:vAlign w:val="center"/>
          </w:tcPr>
          <w:p>
            <w:pPr>
              <w:widowControl/>
              <w:jc w:val="center"/>
              <w:rPr>
                <w:color w:val="000000"/>
                <w:kern w:val="0"/>
                <w:szCs w:val="21"/>
              </w:rPr>
            </w:pPr>
            <w:r>
              <w:rPr>
                <w:b/>
                <w:bCs/>
                <w:color w:val="000000"/>
                <w:kern w:val="0"/>
                <w:szCs w:val="21"/>
              </w:rPr>
              <w:t>商务标初评</w:t>
            </w:r>
          </w:p>
        </w:tc>
        <w:tc>
          <w:tcPr>
            <w:tcW w:w="0" w:type="auto"/>
            <w:tcBorders>
              <w:top w:val="outset" w:color="auto" w:sz="6" w:space="0"/>
              <w:left w:val="outset" w:color="auto" w:sz="6" w:space="0"/>
              <w:bottom w:val="outset" w:color="auto" w:sz="6" w:space="0"/>
              <w:right w:val="outset" w:color="auto" w:sz="6" w:space="0"/>
            </w:tcBorders>
            <w:tcMar>
              <w:left w:w="75" w:type="dxa"/>
            </w:tcMar>
            <w:vAlign w:val="center"/>
          </w:tcPr>
          <w:p>
            <w:pPr>
              <w:widowControl/>
              <w:jc w:val="center"/>
              <w:rPr>
                <w:color w:val="000000"/>
                <w:kern w:val="0"/>
                <w:szCs w:val="21"/>
              </w:rPr>
            </w:pPr>
            <w:r>
              <w:rPr>
                <w:rFonts w:ascii="宋体" w:hAnsi="宋体"/>
                <w:color w:val="000000"/>
              </w:rPr>
              <w:t>围串标等行为</w:t>
            </w:r>
          </w:p>
        </w:tc>
        <w:tc>
          <w:tcPr>
            <w:tcW w:w="0" w:type="auto"/>
            <w:tcBorders>
              <w:top w:val="outset" w:color="auto" w:sz="6" w:space="0"/>
              <w:left w:val="outset" w:color="auto" w:sz="6" w:space="0"/>
              <w:bottom w:val="outset" w:color="auto" w:sz="6" w:space="0"/>
              <w:right w:val="outset" w:color="auto" w:sz="6" w:space="0"/>
            </w:tcBorders>
            <w:tcMar>
              <w:left w:w="75" w:type="dxa"/>
            </w:tcMar>
            <w:vAlign w:val="center"/>
          </w:tcPr>
          <w:p>
            <w:pPr>
              <w:widowControl/>
              <w:jc w:val="left"/>
              <w:rPr>
                <w:color w:val="000000"/>
                <w:kern w:val="0"/>
                <w:szCs w:val="21"/>
              </w:rPr>
            </w:pPr>
            <w:r>
              <w:rPr>
                <w:color w:val="000000"/>
                <w:kern w:val="0"/>
                <w:szCs w:val="21"/>
              </w:rPr>
              <w:t>清标结果显示不同供应商的投标文件异常一致或者投标报价呈规律性差异等招投标相关法律法规明确规定为串通投标或弄虚作假或有其他违法行为的</w:t>
            </w:r>
            <w:r>
              <w:rPr>
                <w:rFonts w:hint="eastAsia"/>
                <w:color w:val="000000"/>
                <w:kern w:val="0"/>
                <w:szCs w:val="21"/>
              </w:rPr>
              <w:t>。</w:t>
            </w:r>
          </w:p>
        </w:tc>
      </w:tr>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510" w:hRule="atLeast"/>
        </w:trPr>
        <w:tc>
          <w:tcPr>
            <w:tcW w:w="0" w:type="auto"/>
            <w:vMerge w:val="continue"/>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p>
        </w:tc>
        <w:tc>
          <w:tcPr>
            <w:tcW w:w="0" w:type="auto"/>
            <w:tcBorders>
              <w:top w:val="outset" w:color="auto" w:sz="6" w:space="0"/>
              <w:left w:val="outset" w:color="auto" w:sz="6" w:space="0"/>
              <w:bottom w:val="outset" w:color="auto" w:sz="6" w:space="0"/>
              <w:right w:val="outset" w:color="auto" w:sz="6" w:space="0"/>
            </w:tcBorders>
            <w:tcMar>
              <w:left w:w="75" w:type="dxa"/>
            </w:tcMar>
            <w:vAlign w:val="center"/>
          </w:tcPr>
          <w:p>
            <w:pPr>
              <w:widowControl/>
              <w:jc w:val="center"/>
              <w:rPr>
                <w:color w:val="000000"/>
                <w:kern w:val="0"/>
                <w:szCs w:val="21"/>
              </w:rPr>
            </w:pPr>
            <w:r>
              <w:rPr>
                <w:color w:val="000000"/>
                <w:kern w:val="0"/>
                <w:szCs w:val="21"/>
              </w:rPr>
              <w:t>格式</w:t>
            </w:r>
          </w:p>
        </w:tc>
        <w:tc>
          <w:tcPr>
            <w:tcW w:w="0" w:type="auto"/>
            <w:tcBorders>
              <w:top w:val="outset" w:color="auto" w:sz="6" w:space="0"/>
              <w:left w:val="outset" w:color="auto" w:sz="6" w:space="0"/>
              <w:bottom w:val="outset" w:color="auto" w:sz="6" w:space="0"/>
              <w:right w:val="outset" w:color="auto" w:sz="6" w:space="0"/>
            </w:tcBorders>
            <w:tcMar>
              <w:left w:w="75" w:type="dxa"/>
            </w:tcMar>
            <w:vAlign w:val="center"/>
          </w:tcPr>
          <w:p>
            <w:pPr>
              <w:widowControl/>
              <w:jc w:val="left"/>
              <w:rPr>
                <w:color w:val="000000"/>
                <w:kern w:val="0"/>
                <w:szCs w:val="21"/>
              </w:rPr>
            </w:pPr>
            <w:r>
              <w:rPr>
                <w:rFonts w:hint="eastAsia" w:ascii="宋体" w:hAnsi="宋体" w:cs="宋体"/>
                <w:color w:val="000000"/>
                <w:kern w:val="0"/>
                <w:szCs w:val="21"/>
              </w:rPr>
              <w:t>①</w:t>
            </w:r>
            <w:r>
              <w:rPr>
                <w:color w:val="000000"/>
                <w:kern w:val="0"/>
                <w:szCs w:val="21"/>
              </w:rPr>
              <w:t xml:space="preserve">电子清单计价文件无法读取或不符合规定格式的； </w:t>
            </w:r>
          </w:p>
          <w:p>
            <w:pPr>
              <w:widowControl/>
              <w:jc w:val="left"/>
              <w:rPr>
                <w:color w:val="000000"/>
                <w:kern w:val="0"/>
                <w:szCs w:val="21"/>
              </w:rPr>
            </w:pPr>
            <w:r>
              <w:rPr>
                <w:rFonts w:hint="eastAsia" w:ascii="宋体" w:hAnsi="宋体" w:cs="宋体"/>
                <w:color w:val="000000"/>
                <w:kern w:val="0"/>
                <w:szCs w:val="21"/>
              </w:rPr>
              <w:t>②</w:t>
            </w:r>
            <w:r>
              <w:rPr>
                <w:color w:val="000000"/>
                <w:kern w:val="0"/>
                <w:szCs w:val="21"/>
              </w:rPr>
              <w:t>未按投标文件格式在规定部位盖章或签章或签字的，实质性内容不全或关键字迹模糊、无法辨认的</w:t>
            </w:r>
            <w:r>
              <w:rPr>
                <w:rFonts w:hint="eastAsia"/>
                <w:color w:val="000000"/>
                <w:kern w:val="0"/>
                <w:szCs w:val="21"/>
              </w:rPr>
              <w:t>。</w:t>
            </w:r>
          </w:p>
        </w:tc>
      </w:tr>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963" w:hRule="atLeast"/>
        </w:trPr>
        <w:tc>
          <w:tcPr>
            <w:tcW w:w="0" w:type="auto"/>
            <w:vMerge w:val="continue"/>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p>
        </w:tc>
        <w:tc>
          <w:tcPr>
            <w:tcW w:w="0" w:type="auto"/>
            <w:tcBorders>
              <w:top w:val="outset" w:color="auto" w:sz="6" w:space="0"/>
              <w:left w:val="outset" w:color="auto" w:sz="6" w:space="0"/>
              <w:bottom w:val="outset" w:color="auto" w:sz="6" w:space="0"/>
              <w:right w:val="outset" w:color="auto" w:sz="6" w:space="0"/>
            </w:tcBorders>
            <w:tcMar>
              <w:left w:w="75" w:type="dxa"/>
            </w:tcMar>
            <w:vAlign w:val="center"/>
          </w:tcPr>
          <w:p>
            <w:pPr>
              <w:widowControl/>
              <w:jc w:val="center"/>
              <w:rPr>
                <w:color w:val="000000"/>
                <w:kern w:val="0"/>
                <w:szCs w:val="21"/>
              </w:rPr>
            </w:pPr>
            <w:r>
              <w:rPr>
                <w:color w:val="000000"/>
                <w:kern w:val="0"/>
                <w:szCs w:val="21"/>
              </w:rPr>
              <w:t>工期、质量等实质性要求</w:t>
            </w:r>
          </w:p>
        </w:tc>
        <w:tc>
          <w:tcPr>
            <w:tcW w:w="0" w:type="auto"/>
            <w:tcBorders>
              <w:top w:val="outset" w:color="auto" w:sz="6" w:space="0"/>
              <w:left w:val="outset" w:color="auto" w:sz="6" w:space="0"/>
              <w:bottom w:val="outset" w:color="auto" w:sz="6" w:space="0"/>
              <w:right w:val="outset" w:color="auto" w:sz="6" w:space="0"/>
            </w:tcBorders>
            <w:tcMar>
              <w:left w:w="75" w:type="dxa"/>
            </w:tcMar>
            <w:vAlign w:val="center"/>
          </w:tcPr>
          <w:p>
            <w:pPr>
              <w:widowControl/>
              <w:jc w:val="left"/>
              <w:rPr>
                <w:color w:val="000000"/>
                <w:kern w:val="0"/>
                <w:szCs w:val="21"/>
              </w:rPr>
            </w:pPr>
            <w:r>
              <w:rPr>
                <w:rFonts w:ascii="宋体" w:hAnsi="宋体"/>
                <w:color w:val="000000"/>
              </w:rPr>
              <w:t>投标函及附件中投标报价、工期、质量标准或其它实质性要求不能满足招标文件要求,或作出的承诺与招标文件中提供的投标函及附件样本中相关内容相抵触或有遗漏的。</w:t>
            </w:r>
          </w:p>
        </w:tc>
      </w:tr>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691" w:hRule="atLeast"/>
        </w:trPr>
        <w:tc>
          <w:tcPr>
            <w:tcW w:w="0" w:type="auto"/>
            <w:vMerge w:val="continue"/>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p>
        </w:tc>
        <w:tc>
          <w:tcPr>
            <w:tcW w:w="0" w:type="auto"/>
            <w:tcBorders>
              <w:top w:val="outset" w:color="auto" w:sz="6" w:space="0"/>
              <w:left w:val="outset" w:color="auto" w:sz="6" w:space="0"/>
              <w:bottom w:val="outset" w:color="auto" w:sz="6" w:space="0"/>
              <w:right w:val="outset" w:color="auto" w:sz="6" w:space="0"/>
            </w:tcBorders>
            <w:tcMar>
              <w:left w:w="75" w:type="dxa"/>
            </w:tcMar>
            <w:vAlign w:val="center"/>
          </w:tcPr>
          <w:p>
            <w:pPr>
              <w:widowControl/>
              <w:jc w:val="center"/>
              <w:rPr>
                <w:color w:val="000000"/>
                <w:kern w:val="0"/>
                <w:szCs w:val="21"/>
              </w:rPr>
            </w:pPr>
            <w:r>
              <w:rPr>
                <w:color w:val="000000"/>
                <w:kern w:val="0"/>
                <w:szCs w:val="21"/>
              </w:rPr>
              <w:t>清单</w:t>
            </w:r>
            <w:r>
              <w:rPr>
                <w:rFonts w:hint="eastAsia"/>
                <w:color w:val="000000"/>
                <w:kern w:val="0"/>
                <w:szCs w:val="21"/>
              </w:rPr>
              <w:t xml:space="preserve">   </w:t>
            </w:r>
            <w:r>
              <w:rPr>
                <w:color w:val="000000"/>
                <w:kern w:val="0"/>
                <w:szCs w:val="21"/>
              </w:rPr>
              <w:t>符合性</w:t>
            </w:r>
          </w:p>
        </w:tc>
        <w:tc>
          <w:tcPr>
            <w:tcW w:w="0" w:type="auto"/>
            <w:tcBorders>
              <w:top w:val="outset" w:color="auto" w:sz="6" w:space="0"/>
              <w:left w:val="outset" w:color="auto" w:sz="6" w:space="0"/>
              <w:bottom w:val="outset" w:color="auto" w:sz="6" w:space="0"/>
              <w:right w:val="outset" w:color="auto" w:sz="6" w:space="0"/>
            </w:tcBorders>
            <w:tcMar>
              <w:left w:w="75" w:type="dxa"/>
            </w:tcMar>
            <w:vAlign w:val="center"/>
          </w:tcPr>
          <w:p>
            <w:pPr>
              <w:widowControl/>
              <w:jc w:val="left"/>
              <w:rPr>
                <w:color w:val="000000"/>
                <w:kern w:val="0"/>
                <w:szCs w:val="21"/>
              </w:rPr>
            </w:pPr>
            <w:r>
              <w:rPr>
                <w:color w:val="000000"/>
                <w:kern w:val="0"/>
                <w:szCs w:val="21"/>
              </w:rPr>
              <w:t>当投标文件中填报的工程量清单报价书中的分项、分部工程项目名称、内容或计量单位及工程量与招标人提供的工程量清单实质性不一致，以致影响评标结果的</w:t>
            </w:r>
            <w:r>
              <w:rPr>
                <w:rFonts w:hint="eastAsia"/>
                <w:color w:val="000000"/>
                <w:kern w:val="0"/>
                <w:szCs w:val="21"/>
              </w:rPr>
              <w:t>。</w:t>
            </w:r>
          </w:p>
        </w:tc>
      </w:tr>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1706" w:hRule="atLeast"/>
        </w:trPr>
        <w:tc>
          <w:tcPr>
            <w:tcW w:w="0" w:type="auto"/>
            <w:vMerge w:val="continue"/>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p>
        </w:tc>
        <w:tc>
          <w:tcPr>
            <w:tcW w:w="0" w:type="auto"/>
            <w:tcBorders>
              <w:top w:val="outset" w:color="auto" w:sz="6" w:space="0"/>
              <w:left w:val="outset" w:color="auto" w:sz="6" w:space="0"/>
              <w:bottom w:val="outset" w:color="auto" w:sz="6" w:space="0"/>
              <w:right w:val="outset" w:color="auto" w:sz="6" w:space="0"/>
            </w:tcBorders>
            <w:tcMar>
              <w:left w:w="75" w:type="dxa"/>
            </w:tcMar>
            <w:vAlign w:val="center"/>
          </w:tcPr>
          <w:p>
            <w:pPr>
              <w:widowControl/>
              <w:jc w:val="center"/>
              <w:rPr>
                <w:color w:val="000000"/>
                <w:kern w:val="0"/>
                <w:szCs w:val="21"/>
              </w:rPr>
            </w:pPr>
            <w:r>
              <w:rPr>
                <w:color w:val="000000"/>
                <w:kern w:val="0"/>
                <w:szCs w:val="21"/>
              </w:rPr>
              <w:t>不可竞争费</w:t>
            </w:r>
          </w:p>
        </w:tc>
        <w:tc>
          <w:tcPr>
            <w:tcW w:w="0" w:type="auto"/>
            <w:tcBorders>
              <w:top w:val="outset" w:color="auto" w:sz="6" w:space="0"/>
              <w:left w:val="outset" w:color="auto" w:sz="6" w:space="0"/>
              <w:bottom w:val="outset" w:color="auto" w:sz="6" w:space="0"/>
              <w:right w:val="outset" w:color="auto" w:sz="6" w:space="0"/>
            </w:tcBorders>
            <w:tcMar>
              <w:left w:w="75" w:type="dxa"/>
            </w:tcMar>
            <w:vAlign w:val="center"/>
          </w:tcPr>
          <w:p>
            <w:pPr>
              <w:widowControl/>
              <w:jc w:val="left"/>
              <w:rPr>
                <w:color w:val="000000"/>
                <w:kern w:val="0"/>
                <w:szCs w:val="21"/>
              </w:rPr>
            </w:pPr>
            <w:r>
              <w:rPr>
                <w:rFonts w:hint="eastAsia" w:ascii="宋体" w:hAnsi="宋体"/>
                <w:color w:val="000000"/>
                <w:kern w:val="0"/>
                <w:szCs w:val="21"/>
              </w:rPr>
              <w:t>①</w:t>
            </w:r>
            <w:r>
              <w:rPr>
                <w:rFonts w:hint="eastAsia"/>
                <w:color w:val="000000"/>
                <w:kern w:val="0"/>
                <w:szCs w:val="21"/>
              </w:rPr>
              <w:t>不可竞争费计算基数及取费费率低于招标文件规定的；</w:t>
            </w:r>
          </w:p>
          <w:p>
            <w:pPr>
              <w:widowControl/>
              <w:jc w:val="left"/>
              <w:rPr>
                <w:color w:val="000000"/>
                <w:kern w:val="0"/>
                <w:szCs w:val="21"/>
              </w:rPr>
            </w:pPr>
            <w:r>
              <w:rPr>
                <w:rFonts w:hint="eastAsia"/>
                <w:color w:val="000000"/>
                <w:kern w:val="0"/>
                <w:szCs w:val="21"/>
              </w:rPr>
              <w:t>②供应商工费工日单价低于招标文件规定的；</w:t>
            </w:r>
          </w:p>
          <w:p>
            <w:pPr>
              <w:widowControl/>
              <w:jc w:val="left"/>
              <w:rPr>
                <w:color w:val="000000"/>
                <w:kern w:val="0"/>
                <w:szCs w:val="21"/>
              </w:rPr>
            </w:pPr>
            <w:r>
              <w:rPr>
                <w:rFonts w:hint="eastAsia"/>
                <w:color w:val="000000"/>
                <w:kern w:val="0"/>
                <w:szCs w:val="21"/>
              </w:rPr>
              <w:t>③投标报价中更改暂列金额、专业工程暂估价的；</w:t>
            </w:r>
          </w:p>
          <w:p>
            <w:pPr>
              <w:widowControl/>
              <w:jc w:val="left"/>
              <w:rPr>
                <w:color w:val="000000"/>
                <w:kern w:val="0"/>
                <w:szCs w:val="21"/>
              </w:rPr>
            </w:pPr>
            <w:r>
              <w:rPr>
                <w:rFonts w:hint="eastAsia"/>
                <w:color w:val="000000"/>
                <w:kern w:val="0"/>
                <w:szCs w:val="21"/>
              </w:rPr>
              <w:t>④供应商税金税率低于招标文件规定的；</w:t>
            </w:r>
          </w:p>
          <w:p>
            <w:pPr>
              <w:widowControl/>
              <w:jc w:val="left"/>
              <w:rPr>
                <w:color w:val="000000"/>
                <w:kern w:val="0"/>
                <w:szCs w:val="21"/>
              </w:rPr>
            </w:pPr>
            <w:r>
              <w:rPr>
                <w:rFonts w:hint="eastAsia"/>
                <w:color w:val="000000"/>
                <w:kern w:val="0"/>
                <w:szCs w:val="21"/>
              </w:rPr>
              <w:t>⑤投标报价不符合法规规章、上级文件规定的其他不可竞争费用要求的。</w:t>
            </w:r>
          </w:p>
        </w:tc>
      </w:tr>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410" w:hRule="atLeast"/>
        </w:trPr>
        <w:tc>
          <w:tcPr>
            <w:tcW w:w="0" w:type="auto"/>
            <w:vMerge w:val="continue"/>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p>
        </w:tc>
        <w:tc>
          <w:tcPr>
            <w:tcW w:w="0" w:type="auto"/>
            <w:tcBorders>
              <w:top w:val="outset" w:color="auto" w:sz="6" w:space="0"/>
              <w:left w:val="outset" w:color="auto" w:sz="6" w:space="0"/>
              <w:bottom w:val="outset" w:color="auto" w:sz="6" w:space="0"/>
              <w:right w:val="outset" w:color="auto" w:sz="6" w:space="0"/>
            </w:tcBorders>
            <w:tcMar>
              <w:left w:w="75" w:type="dxa"/>
            </w:tcMar>
            <w:vAlign w:val="center"/>
          </w:tcPr>
          <w:p>
            <w:pPr>
              <w:widowControl/>
              <w:jc w:val="center"/>
              <w:rPr>
                <w:color w:val="000000"/>
                <w:kern w:val="0"/>
                <w:szCs w:val="21"/>
              </w:rPr>
            </w:pPr>
            <w:r>
              <w:rPr>
                <w:color w:val="000000"/>
                <w:kern w:val="0"/>
                <w:szCs w:val="21"/>
              </w:rPr>
              <w:t>报价</w:t>
            </w:r>
          </w:p>
        </w:tc>
        <w:tc>
          <w:tcPr>
            <w:tcW w:w="0" w:type="auto"/>
            <w:tcBorders>
              <w:top w:val="outset" w:color="auto" w:sz="6" w:space="0"/>
              <w:left w:val="outset" w:color="auto" w:sz="6" w:space="0"/>
              <w:bottom w:val="outset" w:color="auto" w:sz="6" w:space="0"/>
              <w:right w:val="outset" w:color="auto" w:sz="6" w:space="0"/>
            </w:tcBorders>
            <w:tcMar>
              <w:left w:w="75" w:type="dxa"/>
            </w:tcMar>
            <w:vAlign w:val="center"/>
          </w:tcPr>
          <w:p>
            <w:pPr>
              <w:widowControl/>
              <w:jc w:val="left"/>
              <w:rPr>
                <w:rFonts w:ascii="宋体" w:hAnsi="宋体"/>
                <w:color w:val="000000"/>
                <w:kern w:val="0"/>
                <w:szCs w:val="21"/>
              </w:rPr>
            </w:pPr>
            <w:r>
              <w:rPr>
                <w:rFonts w:ascii="宋体" w:hAnsi="宋体"/>
                <w:color w:val="000000"/>
                <w:kern w:val="0"/>
                <w:szCs w:val="21"/>
              </w:rPr>
              <w:t xml:space="preserve">①供应商递交两份或多份内容不同的投标文件，或在一份投标文件中对同一招标项目报有两个或多个报价，且未声明哪一个有效，按招标文件规定提交备选投标方案的除外； </w:t>
            </w:r>
          </w:p>
          <w:p>
            <w:pPr>
              <w:widowControl/>
              <w:jc w:val="left"/>
              <w:rPr>
                <w:rFonts w:ascii="宋体" w:hAnsi="宋体"/>
                <w:color w:val="000000"/>
                <w:kern w:val="0"/>
                <w:szCs w:val="21"/>
              </w:rPr>
            </w:pPr>
            <w:r>
              <w:rPr>
                <w:rFonts w:ascii="宋体" w:hAnsi="宋体"/>
                <w:color w:val="000000"/>
                <w:kern w:val="0"/>
                <w:szCs w:val="21"/>
              </w:rPr>
              <w:t xml:space="preserve">②投标报价高于或等于控制价； </w:t>
            </w:r>
          </w:p>
          <w:p>
            <w:pPr>
              <w:widowControl/>
              <w:jc w:val="left"/>
              <w:rPr>
                <w:rFonts w:ascii="宋体" w:hAnsi="宋体"/>
                <w:color w:val="000000"/>
                <w:kern w:val="0"/>
                <w:szCs w:val="21"/>
              </w:rPr>
            </w:pPr>
            <w:r>
              <w:rPr>
                <w:rFonts w:hint="eastAsia" w:ascii="宋体" w:hAnsi="宋体"/>
                <w:color w:val="000000"/>
                <w:kern w:val="0"/>
                <w:szCs w:val="21"/>
              </w:rPr>
              <w:t>③供应商商务标中不应出现负值，却有负值出现的；</w:t>
            </w:r>
          </w:p>
          <w:p>
            <w:pPr>
              <w:widowControl/>
              <w:jc w:val="left"/>
              <w:rPr>
                <w:rFonts w:ascii="宋体" w:hAnsi="宋体"/>
                <w:color w:val="000000"/>
                <w:kern w:val="0"/>
                <w:szCs w:val="21"/>
              </w:rPr>
            </w:pPr>
            <w:r>
              <w:rPr>
                <w:rFonts w:hint="eastAsia" w:ascii="宋体" w:hAnsi="宋体"/>
                <w:color w:val="000000"/>
                <w:kern w:val="0"/>
                <w:szCs w:val="21"/>
              </w:rPr>
              <w:t>④减少实体材料消耗量指标且不符合计量计价规范或实际情况的；</w:t>
            </w:r>
          </w:p>
          <w:p>
            <w:pPr>
              <w:widowControl/>
              <w:jc w:val="left"/>
              <w:rPr>
                <w:color w:val="000000"/>
                <w:kern w:val="0"/>
                <w:szCs w:val="21"/>
              </w:rPr>
            </w:pPr>
            <w:r>
              <w:rPr>
                <w:rFonts w:hint="eastAsia" w:ascii="宋体" w:hAnsi="宋体"/>
                <w:color w:val="000000"/>
                <w:kern w:val="0"/>
                <w:szCs w:val="21"/>
              </w:rPr>
              <w:t>⑤投标报价的总人工费与技术标中的劳动力安排计划相比，明显过低的。</w:t>
            </w:r>
          </w:p>
        </w:tc>
      </w:tr>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510" w:hRule="atLeast"/>
        </w:trPr>
        <w:tc>
          <w:tcPr>
            <w:tcW w:w="0" w:type="auto"/>
            <w:vMerge w:val="continue"/>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p>
        </w:tc>
        <w:tc>
          <w:tcPr>
            <w:tcW w:w="0" w:type="auto"/>
            <w:tcBorders>
              <w:top w:val="outset" w:color="auto" w:sz="6" w:space="0"/>
              <w:left w:val="outset" w:color="auto" w:sz="6" w:space="0"/>
              <w:bottom w:val="outset" w:color="auto" w:sz="6" w:space="0"/>
              <w:right w:val="outset" w:color="auto" w:sz="6" w:space="0"/>
            </w:tcBorders>
            <w:tcMar>
              <w:left w:w="75" w:type="dxa"/>
            </w:tcMar>
            <w:vAlign w:val="center"/>
          </w:tcPr>
          <w:p>
            <w:pPr>
              <w:widowControl/>
              <w:jc w:val="center"/>
              <w:rPr>
                <w:color w:val="000000"/>
                <w:kern w:val="0"/>
                <w:szCs w:val="21"/>
              </w:rPr>
            </w:pPr>
            <w:r>
              <w:rPr>
                <w:color w:val="000000"/>
                <w:kern w:val="0"/>
                <w:szCs w:val="21"/>
              </w:rPr>
              <w:t>偏差</w:t>
            </w:r>
          </w:p>
        </w:tc>
        <w:tc>
          <w:tcPr>
            <w:tcW w:w="0" w:type="auto"/>
            <w:tcBorders>
              <w:top w:val="outset" w:color="auto" w:sz="6" w:space="0"/>
              <w:left w:val="outset" w:color="auto" w:sz="6" w:space="0"/>
              <w:bottom w:val="outset" w:color="auto" w:sz="6" w:space="0"/>
              <w:right w:val="outset" w:color="auto" w:sz="6" w:space="0"/>
            </w:tcBorders>
            <w:tcMar>
              <w:left w:w="75" w:type="dxa"/>
            </w:tcMar>
            <w:vAlign w:val="center"/>
          </w:tcPr>
          <w:p>
            <w:pPr>
              <w:widowControl/>
              <w:jc w:val="left"/>
              <w:rPr>
                <w:color w:val="000000"/>
                <w:kern w:val="0"/>
                <w:szCs w:val="21"/>
              </w:rPr>
            </w:pPr>
            <w:r>
              <w:rPr>
                <w:rFonts w:ascii="宋体" w:hAnsi="宋体"/>
                <w:color w:val="000000"/>
              </w:rPr>
              <w:t>因供应商原因造成投标报价及其综合单价遗漏的工程项目、工程内容、工程数量、费用或计算错误等，累计缺漏总额（高估冒算、多报费用不得抵消缺漏费用）占投标报价3%（含）以上或影响供应商排序的。</w:t>
            </w:r>
          </w:p>
        </w:tc>
      </w:tr>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510" w:hRule="atLeast"/>
        </w:trPr>
        <w:tc>
          <w:tcPr>
            <w:tcW w:w="0" w:type="auto"/>
            <w:vMerge w:val="continue"/>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p>
        </w:tc>
        <w:tc>
          <w:tcPr>
            <w:tcW w:w="0" w:type="auto"/>
            <w:tcBorders>
              <w:top w:val="outset" w:color="auto" w:sz="6" w:space="0"/>
              <w:left w:val="outset" w:color="auto" w:sz="6" w:space="0"/>
              <w:bottom w:val="outset" w:color="auto" w:sz="6" w:space="0"/>
              <w:right w:val="outset" w:color="auto" w:sz="6" w:space="0"/>
            </w:tcBorders>
            <w:tcMar>
              <w:left w:w="75" w:type="dxa"/>
            </w:tcMar>
            <w:vAlign w:val="center"/>
          </w:tcPr>
          <w:p>
            <w:pPr>
              <w:widowControl/>
              <w:jc w:val="center"/>
              <w:rPr>
                <w:color w:val="000000"/>
                <w:kern w:val="0"/>
                <w:szCs w:val="21"/>
              </w:rPr>
            </w:pPr>
            <w:r>
              <w:rPr>
                <w:color w:val="000000"/>
                <w:kern w:val="0"/>
                <w:szCs w:val="21"/>
              </w:rPr>
              <w:t>修正</w:t>
            </w:r>
          </w:p>
        </w:tc>
        <w:tc>
          <w:tcPr>
            <w:tcW w:w="0" w:type="auto"/>
            <w:tcBorders>
              <w:top w:val="outset" w:color="auto" w:sz="6" w:space="0"/>
              <w:left w:val="outset" w:color="auto" w:sz="6" w:space="0"/>
              <w:bottom w:val="outset" w:color="auto" w:sz="6" w:space="0"/>
              <w:right w:val="outset" w:color="auto" w:sz="6" w:space="0"/>
            </w:tcBorders>
            <w:tcMar>
              <w:left w:w="75" w:type="dxa"/>
            </w:tcMar>
            <w:vAlign w:val="center"/>
          </w:tcPr>
          <w:p>
            <w:pPr>
              <w:widowControl/>
              <w:jc w:val="left"/>
              <w:rPr>
                <w:color w:val="000000"/>
                <w:kern w:val="0"/>
                <w:szCs w:val="21"/>
              </w:rPr>
            </w:pPr>
            <w:r>
              <w:rPr>
                <w:color w:val="000000"/>
                <w:kern w:val="0"/>
                <w:szCs w:val="21"/>
              </w:rPr>
              <w:t>供应商拒不按照要求对投标文件进行澄清、说明、补正的，或评标委员根据招标文件的规定对投标文件的计算错误进行修正后，供应商不接受修正后的投标报价的</w:t>
            </w:r>
            <w:r>
              <w:rPr>
                <w:rFonts w:hint="eastAsia"/>
                <w:color w:val="000000"/>
                <w:kern w:val="0"/>
                <w:szCs w:val="21"/>
              </w:rPr>
              <w:t>。</w:t>
            </w:r>
          </w:p>
        </w:tc>
      </w:tr>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510" w:hRule="atLeast"/>
        </w:trPr>
        <w:tc>
          <w:tcPr>
            <w:tcW w:w="0" w:type="auto"/>
            <w:vMerge w:val="continue"/>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p>
        </w:tc>
        <w:tc>
          <w:tcPr>
            <w:tcW w:w="0" w:type="auto"/>
            <w:tcBorders>
              <w:top w:val="outset" w:color="auto" w:sz="6" w:space="0"/>
              <w:left w:val="outset" w:color="auto" w:sz="6" w:space="0"/>
              <w:bottom w:val="outset" w:color="auto" w:sz="6" w:space="0"/>
              <w:right w:val="outset" w:color="auto" w:sz="6" w:space="0"/>
            </w:tcBorders>
            <w:tcMar>
              <w:left w:w="75" w:type="dxa"/>
            </w:tcMar>
            <w:vAlign w:val="center"/>
          </w:tcPr>
          <w:p>
            <w:pPr>
              <w:widowControl/>
              <w:jc w:val="center"/>
              <w:rPr>
                <w:color w:val="000000"/>
                <w:kern w:val="0"/>
                <w:szCs w:val="21"/>
              </w:rPr>
            </w:pPr>
            <w:r>
              <w:rPr>
                <w:color w:val="000000"/>
                <w:kern w:val="0"/>
                <w:szCs w:val="21"/>
              </w:rPr>
              <w:t>不能接受</w:t>
            </w:r>
          </w:p>
          <w:p>
            <w:pPr>
              <w:widowControl/>
              <w:jc w:val="center"/>
              <w:rPr>
                <w:color w:val="000000"/>
                <w:kern w:val="0"/>
                <w:szCs w:val="21"/>
              </w:rPr>
            </w:pPr>
            <w:r>
              <w:rPr>
                <w:color w:val="000000"/>
                <w:kern w:val="0"/>
                <w:szCs w:val="21"/>
              </w:rPr>
              <w:t>的内容</w:t>
            </w:r>
          </w:p>
        </w:tc>
        <w:tc>
          <w:tcPr>
            <w:tcW w:w="0" w:type="auto"/>
            <w:tcBorders>
              <w:top w:val="outset" w:color="auto" w:sz="6" w:space="0"/>
              <w:left w:val="outset" w:color="auto" w:sz="6" w:space="0"/>
              <w:bottom w:val="outset" w:color="auto" w:sz="6" w:space="0"/>
              <w:right w:val="outset" w:color="auto" w:sz="6" w:space="0"/>
            </w:tcBorders>
            <w:tcMar>
              <w:left w:w="75" w:type="dxa"/>
            </w:tcMar>
            <w:vAlign w:val="center"/>
          </w:tcPr>
          <w:p>
            <w:pPr>
              <w:widowControl/>
              <w:jc w:val="left"/>
              <w:rPr>
                <w:color w:val="000000"/>
                <w:kern w:val="0"/>
                <w:szCs w:val="21"/>
              </w:rPr>
            </w:pPr>
            <w:r>
              <w:rPr>
                <w:color w:val="000000"/>
                <w:kern w:val="0"/>
                <w:szCs w:val="21"/>
              </w:rPr>
              <w:t>投标文件中存在招标人不能接受的其它实质性条件或提供虚假文件</w:t>
            </w:r>
            <w:r>
              <w:rPr>
                <w:rFonts w:hint="eastAsia"/>
                <w:color w:val="000000"/>
                <w:kern w:val="0"/>
                <w:szCs w:val="21"/>
              </w:rPr>
              <w:t>。</w:t>
            </w:r>
          </w:p>
        </w:tc>
      </w:tr>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510" w:hRule="atLeast"/>
        </w:trPr>
        <w:tc>
          <w:tcPr>
            <w:tcW w:w="0" w:type="auto"/>
            <w:vMerge w:val="continue"/>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p>
        </w:tc>
        <w:tc>
          <w:tcPr>
            <w:tcW w:w="0" w:type="auto"/>
            <w:tcBorders>
              <w:top w:val="outset" w:color="auto" w:sz="6" w:space="0"/>
              <w:left w:val="outset" w:color="auto" w:sz="6" w:space="0"/>
              <w:bottom w:val="outset" w:color="auto" w:sz="6" w:space="0"/>
              <w:right w:val="outset" w:color="auto" w:sz="6" w:space="0"/>
            </w:tcBorders>
            <w:tcMar>
              <w:left w:w="75" w:type="dxa"/>
            </w:tcMar>
            <w:vAlign w:val="center"/>
          </w:tcPr>
          <w:p>
            <w:pPr>
              <w:widowControl/>
              <w:ind w:left="-57" w:leftChars="-27"/>
              <w:jc w:val="center"/>
              <w:rPr>
                <w:color w:val="000000"/>
                <w:kern w:val="0"/>
                <w:szCs w:val="21"/>
              </w:rPr>
            </w:pPr>
            <w:r>
              <w:rPr>
                <w:color w:val="000000"/>
                <w:kern w:val="0"/>
                <w:szCs w:val="21"/>
              </w:rPr>
              <w:t>其它情形</w:t>
            </w:r>
          </w:p>
        </w:tc>
        <w:tc>
          <w:tcPr>
            <w:tcW w:w="0" w:type="auto"/>
            <w:tcBorders>
              <w:top w:val="outset" w:color="auto" w:sz="6" w:space="0"/>
              <w:left w:val="outset" w:color="auto" w:sz="6" w:space="0"/>
              <w:bottom w:val="outset" w:color="auto" w:sz="6" w:space="0"/>
              <w:right w:val="outset" w:color="auto" w:sz="6" w:space="0"/>
            </w:tcBorders>
            <w:tcMar>
              <w:left w:w="75" w:type="dxa"/>
            </w:tcMar>
            <w:vAlign w:val="center"/>
          </w:tcPr>
          <w:p>
            <w:pPr>
              <w:widowControl/>
              <w:jc w:val="left"/>
              <w:rPr>
                <w:color w:val="000000"/>
                <w:kern w:val="0"/>
                <w:szCs w:val="21"/>
              </w:rPr>
            </w:pPr>
            <w:r>
              <w:rPr>
                <w:color w:val="000000"/>
                <w:kern w:val="0"/>
                <w:szCs w:val="21"/>
              </w:rPr>
              <w:t>法律、法规规定的其它情形</w:t>
            </w:r>
            <w:r>
              <w:rPr>
                <w:rFonts w:hint="eastAsia"/>
                <w:color w:val="000000"/>
                <w:kern w:val="0"/>
                <w:szCs w:val="21"/>
              </w:rPr>
              <w:t>。</w:t>
            </w:r>
          </w:p>
        </w:tc>
      </w:tr>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510" w:hRule="atLeast"/>
        </w:trPr>
        <w:tc>
          <w:tcPr>
            <w:tcW w:w="648" w:type="dxa"/>
            <w:vMerge w:val="restart"/>
            <w:tcBorders>
              <w:top w:val="outset" w:color="auto" w:sz="6" w:space="0"/>
              <w:left w:val="outset" w:color="auto" w:sz="6" w:space="0"/>
              <w:bottom w:val="outset" w:color="auto" w:sz="6" w:space="0"/>
              <w:right w:val="outset" w:color="auto" w:sz="6" w:space="0"/>
            </w:tcBorders>
            <w:vAlign w:val="center"/>
          </w:tcPr>
          <w:p>
            <w:pPr>
              <w:widowControl/>
              <w:jc w:val="center"/>
              <w:rPr>
                <w:b/>
                <w:bCs/>
                <w:color w:val="000000"/>
                <w:kern w:val="0"/>
                <w:szCs w:val="21"/>
              </w:rPr>
            </w:pPr>
            <w:r>
              <w:rPr>
                <w:b/>
                <w:bCs/>
                <w:color w:val="000000"/>
                <w:kern w:val="0"/>
                <w:szCs w:val="21"/>
              </w:rPr>
              <w:t>3.1</w:t>
            </w:r>
          </w:p>
          <w:p>
            <w:pPr>
              <w:widowControl/>
              <w:jc w:val="center"/>
              <w:rPr>
                <w:b/>
                <w:bCs/>
                <w:color w:val="000000"/>
                <w:kern w:val="0"/>
                <w:szCs w:val="21"/>
              </w:rPr>
            </w:pPr>
            <w:r>
              <w:rPr>
                <w:rFonts w:hint="eastAsia"/>
                <w:b/>
                <w:bCs/>
                <w:color w:val="000000"/>
                <w:kern w:val="0"/>
                <w:szCs w:val="21"/>
              </w:rPr>
              <w:t>3.2</w:t>
            </w:r>
          </w:p>
          <w:p>
            <w:pPr>
              <w:widowControl/>
              <w:jc w:val="center"/>
              <w:rPr>
                <w:color w:val="000000"/>
                <w:kern w:val="0"/>
                <w:szCs w:val="21"/>
              </w:rPr>
            </w:pPr>
            <w:r>
              <w:rPr>
                <w:b/>
                <w:bCs/>
                <w:color w:val="000000"/>
                <w:kern w:val="0"/>
                <w:szCs w:val="21"/>
              </w:rPr>
              <w:t>3.6</w:t>
            </w:r>
          </w:p>
        </w:tc>
        <w:tc>
          <w:tcPr>
            <w:tcW w:w="420" w:type="dxa"/>
            <w:vMerge w:val="restart"/>
            <w:tcBorders>
              <w:top w:val="outset" w:color="auto" w:sz="6" w:space="0"/>
              <w:left w:val="outset" w:color="auto" w:sz="6" w:space="0"/>
              <w:bottom w:val="outset" w:color="auto" w:sz="6" w:space="0"/>
              <w:right w:val="outset" w:color="auto" w:sz="6" w:space="0"/>
            </w:tcBorders>
            <w:vAlign w:val="center"/>
          </w:tcPr>
          <w:p>
            <w:pPr>
              <w:widowControl/>
              <w:jc w:val="center"/>
              <w:rPr>
                <w:color w:val="000000"/>
                <w:kern w:val="0"/>
                <w:szCs w:val="21"/>
              </w:rPr>
            </w:pPr>
            <w:r>
              <w:rPr>
                <w:b/>
                <w:bCs/>
                <w:color w:val="000000"/>
                <w:kern w:val="0"/>
                <w:szCs w:val="21"/>
              </w:rPr>
              <w:t>商务详评标准</w:t>
            </w:r>
          </w:p>
        </w:tc>
        <w:tc>
          <w:tcPr>
            <w:tcW w:w="0" w:type="auto"/>
            <w:tcBorders>
              <w:top w:val="outset" w:color="auto" w:sz="6" w:space="0"/>
              <w:left w:val="outset" w:color="auto" w:sz="6" w:space="0"/>
              <w:bottom w:val="outset" w:color="auto" w:sz="6" w:space="0"/>
              <w:right w:val="outset" w:color="auto" w:sz="6" w:space="0"/>
            </w:tcBorders>
            <w:tcMar>
              <w:left w:w="75" w:type="dxa"/>
            </w:tcMar>
            <w:vAlign w:val="center"/>
          </w:tcPr>
          <w:p>
            <w:pPr>
              <w:widowControl/>
              <w:jc w:val="center"/>
              <w:rPr>
                <w:color w:val="000000"/>
                <w:kern w:val="0"/>
                <w:szCs w:val="21"/>
              </w:rPr>
            </w:pPr>
            <w:r>
              <w:rPr>
                <w:color w:val="000000"/>
                <w:kern w:val="0"/>
                <w:szCs w:val="21"/>
              </w:rPr>
              <w:t>报价规范性评审</w:t>
            </w:r>
          </w:p>
        </w:tc>
        <w:tc>
          <w:tcPr>
            <w:tcW w:w="0" w:type="auto"/>
            <w:tcBorders>
              <w:top w:val="outset" w:color="auto" w:sz="6" w:space="0"/>
              <w:left w:val="outset" w:color="auto" w:sz="6" w:space="0"/>
              <w:bottom w:val="outset" w:color="auto" w:sz="6" w:space="0"/>
              <w:right w:val="outset" w:color="auto" w:sz="6" w:space="0"/>
            </w:tcBorders>
            <w:tcMar>
              <w:left w:w="75" w:type="dxa"/>
            </w:tcMar>
            <w:vAlign w:val="center"/>
          </w:tcPr>
          <w:p>
            <w:pPr>
              <w:widowControl/>
              <w:jc w:val="left"/>
              <w:rPr>
                <w:color w:val="000000"/>
                <w:kern w:val="0"/>
                <w:szCs w:val="21"/>
              </w:rPr>
            </w:pPr>
            <w:r>
              <w:rPr>
                <w:color w:val="000000"/>
                <w:kern w:val="0"/>
                <w:szCs w:val="21"/>
              </w:rPr>
              <w:t>对投标报价中分部分项工程综合单价、主要材料价格、人工费（含工日数量及工日单价）、机械费等进行规范性评审，对明显相互冲突、自相矛盾或不合理的，未按照工程量清单计价规范要求计价的（如：投标报价中分部分项清单综合单价低于主材价格等情况），经评审委员会做重点评审后，可作为无效投标。</w:t>
            </w:r>
          </w:p>
        </w:tc>
      </w:tr>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510" w:hRule="atLeast"/>
        </w:trPr>
        <w:tc>
          <w:tcPr>
            <w:tcW w:w="0" w:type="auto"/>
            <w:vMerge w:val="continue"/>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p>
        </w:tc>
        <w:tc>
          <w:tcPr>
            <w:tcW w:w="0" w:type="auto"/>
            <w:tcBorders>
              <w:top w:val="outset" w:color="auto" w:sz="6" w:space="0"/>
              <w:left w:val="outset" w:color="auto" w:sz="6" w:space="0"/>
              <w:bottom w:val="outset" w:color="auto" w:sz="6" w:space="0"/>
              <w:right w:val="outset" w:color="auto" w:sz="6" w:space="0"/>
            </w:tcBorders>
            <w:tcMar>
              <w:left w:w="75" w:type="dxa"/>
            </w:tcMar>
            <w:vAlign w:val="center"/>
          </w:tcPr>
          <w:p>
            <w:pPr>
              <w:widowControl/>
              <w:ind w:left="105" w:hanging="105" w:hangingChars="50"/>
              <w:jc w:val="center"/>
              <w:rPr>
                <w:color w:val="000000"/>
                <w:kern w:val="0"/>
                <w:szCs w:val="21"/>
              </w:rPr>
            </w:pPr>
            <w:r>
              <w:rPr>
                <w:color w:val="000000"/>
                <w:kern w:val="0"/>
                <w:szCs w:val="21"/>
              </w:rPr>
              <w:t>不平衡报价评审</w:t>
            </w:r>
          </w:p>
        </w:tc>
        <w:tc>
          <w:tcPr>
            <w:tcW w:w="0" w:type="auto"/>
            <w:tcBorders>
              <w:top w:val="outset" w:color="auto" w:sz="6" w:space="0"/>
              <w:left w:val="outset" w:color="auto" w:sz="6" w:space="0"/>
              <w:bottom w:val="outset" w:color="auto" w:sz="6" w:space="0"/>
              <w:right w:val="outset" w:color="auto" w:sz="6" w:space="0"/>
            </w:tcBorders>
            <w:tcMar>
              <w:left w:w="75" w:type="dxa"/>
            </w:tcMar>
            <w:vAlign w:val="center"/>
          </w:tcPr>
          <w:p>
            <w:pPr>
              <w:widowControl/>
              <w:jc w:val="left"/>
              <w:rPr>
                <w:color w:val="000000"/>
                <w:kern w:val="0"/>
                <w:szCs w:val="21"/>
              </w:rPr>
            </w:pPr>
            <w:r>
              <w:rPr>
                <w:rFonts w:hint="eastAsia" w:ascii="宋体" w:hAnsi="宋体" w:cs="宋体"/>
                <w:color w:val="000000"/>
                <w:kern w:val="0"/>
                <w:szCs w:val="21"/>
              </w:rPr>
              <w:t>①</w:t>
            </w:r>
            <w:r>
              <w:rPr>
                <w:color w:val="000000"/>
                <w:kern w:val="0"/>
                <w:szCs w:val="21"/>
              </w:rPr>
              <w:t>对于投标报价明显高出控制价单价或与控制价单价相比明显降幅过大的情况，评委会重点评审后可将其作为恶意不平衡报价进行评审，其商务标作无效标处理。</w:t>
            </w:r>
          </w:p>
          <w:p>
            <w:pPr>
              <w:widowControl/>
              <w:jc w:val="left"/>
              <w:rPr>
                <w:color w:val="000000"/>
                <w:kern w:val="0"/>
                <w:szCs w:val="21"/>
              </w:rPr>
            </w:pPr>
            <w:r>
              <w:rPr>
                <w:rFonts w:hint="eastAsia" w:ascii="宋体" w:hAnsi="宋体" w:cs="宋体"/>
                <w:color w:val="000000"/>
                <w:kern w:val="0"/>
                <w:szCs w:val="21"/>
              </w:rPr>
              <w:t>②</w:t>
            </w:r>
            <w:r>
              <w:rPr>
                <w:color w:val="000000"/>
                <w:kern w:val="0"/>
                <w:szCs w:val="21"/>
              </w:rPr>
              <w:t>供应商应对控制价进行复核，认为控制价及措施费有误的，应在开标前规定疑问提交时限内提出。供应商未提出相关书面异议的，视同认可控制价所有子目组价合理。对于投标报价明显高出控制价单价的情况，评委会重点评审后可将其作为恶意不平衡报价进行评审，其商务标作无效投标处理。</w:t>
            </w:r>
          </w:p>
        </w:tc>
      </w:tr>
    </w:tbl>
    <w:p>
      <w:pPr>
        <w:tabs>
          <w:tab w:val="left" w:pos="3960"/>
        </w:tabs>
        <w:jc w:val="left"/>
        <w:rPr>
          <w:rFonts w:ascii="宋体" w:hAnsi="宋体"/>
          <w:bCs/>
          <w:color w:val="000000"/>
          <w:kern w:val="0"/>
          <w:szCs w:val="21"/>
        </w:rPr>
      </w:pPr>
      <w:r>
        <w:rPr>
          <w:rFonts w:hint="eastAsia" w:ascii="宋体" w:hAnsi="宋体"/>
          <w:bCs/>
          <w:color w:val="000000"/>
          <w:kern w:val="0"/>
          <w:szCs w:val="21"/>
        </w:rPr>
        <w:t>说明：</w:t>
      </w:r>
    </w:p>
    <w:p>
      <w:pPr>
        <w:tabs>
          <w:tab w:val="left" w:pos="3960"/>
        </w:tabs>
        <w:jc w:val="left"/>
        <w:rPr>
          <w:rFonts w:ascii="宋体" w:hAnsi="宋体"/>
          <w:bCs/>
          <w:color w:val="000000"/>
          <w:kern w:val="0"/>
          <w:szCs w:val="21"/>
        </w:rPr>
      </w:pPr>
      <w:r>
        <w:rPr>
          <w:rFonts w:hint="eastAsia" w:ascii="宋体" w:hAnsi="宋体"/>
          <w:bCs/>
          <w:color w:val="000000"/>
          <w:kern w:val="0"/>
          <w:szCs w:val="21"/>
        </w:rPr>
        <w:t>1.商务标评审采用定性方法。</w:t>
      </w:r>
    </w:p>
    <w:p>
      <w:pPr>
        <w:tabs>
          <w:tab w:val="left" w:pos="3960"/>
        </w:tabs>
        <w:jc w:val="left"/>
        <w:rPr>
          <w:rFonts w:ascii="宋体" w:hAnsi="宋体"/>
          <w:bCs/>
          <w:color w:val="000000"/>
          <w:kern w:val="0"/>
          <w:szCs w:val="21"/>
        </w:rPr>
      </w:pPr>
      <w:r>
        <w:rPr>
          <w:rFonts w:hint="eastAsia" w:ascii="宋体" w:hAnsi="宋体"/>
          <w:bCs/>
          <w:color w:val="000000"/>
          <w:kern w:val="0"/>
          <w:szCs w:val="21"/>
        </w:rPr>
        <w:t>2.评标专家根据评审要求判断每项评审内容是否合格，并在供应商评审空格内用“√”、“×”表示。</w:t>
      </w:r>
    </w:p>
    <w:p>
      <w:pPr>
        <w:tabs>
          <w:tab w:val="left" w:pos="3960"/>
        </w:tabs>
        <w:jc w:val="left"/>
        <w:rPr>
          <w:rFonts w:ascii="宋体" w:hAnsi="宋体"/>
          <w:bCs/>
          <w:color w:val="000000"/>
          <w:kern w:val="0"/>
          <w:szCs w:val="21"/>
        </w:rPr>
      </w:pPr>
      <w:r>
        <w:rPr>
          <w:rFonts w:hint="eastAsia" w:ascii="宋体" w:hAnsi="宋体"/>
          <w:bCs/>
          <w:color w:val="000000"/>
          <w:kern w:val="0"/>
          <w:szCs w:val="21"/>
        </w:rPr>
        <w:t>3.供应商应对细微偏差进行澄清并接受修正方为合格。</w:t>
      </w:r>
    </w:p>
    <w:p>
      <w:pPr>
        <w:tabs>
          <w:tab w:val="left" w:pos="3960"/>
        </w:tabs>
        <w:jc w:val="left"/>
        <w:rPr>
          <w:rFonts w:ascii="宋体" w:hAnsi="宋体"/>
          <w:bCs/>
          <w:color w:val="000000"/>
          <w:kern w:val="0"/>
          <w:szCs w:val="21"/>
        </w:rPr>
      </w:pPr>
      <w:r>
        <w:rPr>
          <w:rFonts w:hint="eastAsia" w:ascii="宋体" w:hAnsi="宋体"/>
          <w:bCs/>
          <w:color w:val="000000"/>
          <w:kern w:val="0"/>
          <w:szCs w:val="21"/>
        </w:rPr>
        <w:t>4.所有重大偏差选项必须全部通过方为合格。</w:t>
      </w:r>
    </w:p>
    <w:p>
      <w:pPr>
        <w:tabs>
          <w:tab w:val="left" w:pos="3960"/>
        </w:tabs>
        <w:jc w:val="left"/>
        <w:rPr>
          <w:rFonts w:ascii="宋体" w:hAnsi="宋体"/>
          <w:bCs/>
          <w:color w:val="000000"/>
          <w:kern w:val="0"/>
          <w:szCs w:val="21"/>
        </w:rPr>
      </w:pPr>
      <w:r>
        <w:rPr>
          <w:rFonts w:hint="eastAsia" w:ascii="宋体" w:hAnsi="宋体"/>
          <w:bCs/>
          <w:color w:val="000000"/>
          <w:kern w:val="0"/>
          <w:szCs w:val="21"/>
        </w:rPr>
        <w:t>5.所有商务标详细评审选项必须全部通过方为合格。</w:t>
      </w:r>
      <w:r>
        <w:rPr>
          <w:rFonts w:ascii="宋体" w:hAnsi="宋体"/>
          <w:bCs/>
          <w:color w:val="000000"/>
          <w:kern w:val="0"/>
          <w:sz w:val="24"/>
        </w:rPr>
        <w:br w:type="page"/>
      </w:r>
    </w:p>
    <w:p>
      <w:pPr>
        <w:keepNext/>
        <w:keepLines/>
        <w:numPr>
          <w:ilvl w:val="0"/>
          <w:numId w:val="3"/>
        </w:numPr>
        <w:spacing w:before="240" w:after="240" w:line="415" w:lineRule="auto"/>
        <w:jc w:val="center"/>
        <w:outlineLvl w:val="1"/>
        <w:rPr>
          <w:rFonts w:ascii="宋体" w:hAnsi="宋体"/>
          <w:b/>
          <w:bCs/>
          <w:color w:val="000000"/>
          <w:sz w:val="32"/>
          <w:szCs w:val="32"/>
        </w:rPr>
      </w:pPr>
      <w:bookmarkStart w:id="100" w:name="_Toc439064243"/>
      <w:bookmarkStart w:id="101" w:name="_Toc532910215"/>
      <w:bookmarkStart w:id="102" w:name="_Toc532910494"/>
      <w:r>
        <w:rPr>
          <w:rFonts w:hint="eastAsia" w:ascii="宋体" w:hAnsi="宋体"/>
          <w:b/>
          <w:bCs/>
          <w:color w:val="000000"/>
          <w:sz w:val="32"/>
          <w:szCs w:val="32"/>
        </w:rPr>
        <w:t>技术标评审标准</w:t>
      </w:r>
      <w:bookmarkEnd w:id="100"/>
      <w:bookmarkEnd w:id="101"/>
      <w:bookmarkEnd w:id="102"/>
    </w:p>
    <w:tbl>
      <w:tblPr>
        <w:tblStyle w:val="48"/>
        <w:tblW w:w="5057" w:type="pct"/>
        <w:tblInd w:w="0" w:type="dxa"/>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Layout w:type="autofit"/>
        <w:tblCellMar>
          <w:top w:w="0" w:type="dxa"/>
          <w:left w:w="0" w:type="dxa"/>
          <w:bottom w:w="0" w:type="dxa"/>
          <w:right w:w="0" w:type="dxa"/>
        </w:tblCellMar>
      </w:tblPr>
      <w:tblGrid>
        <w:gridCol w:w="713"/>
        <w:gridCol w:w="406"/>
        <w:gridCol w:w="1357"/>
        <w:gridCol w:w="6149"/>
        <w:gridCol w:w="567"/>
      </w:tblGrid>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540" w:hRule="atLeast"/>
        </w:trPr>
        <w:tc>
          <w:tcPr>
            <w:tcW w:w="388" w:type="pct"/>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r>
              <w:rPr>
                <w:b/>
                <w:bCs/>
                <w:color w:val="000000"/>
                <w:kern w:val="0"/>
                <w:szCs w:val="21"/>
              </w:rPr>
              <w:t>条款号</w:t>
            </w:r>
          </w:p>
        </w:tc>
        <w:tc>
          <w:tcPr>
            <w:tcW w:w="959" w:type="pct"/>
            <w:gridSpan w:val="2"/>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r>
              <w:rPr>
                <w:b/>
                <w:bCs/>
                <w:color w:val="000000"/>
                <w:kern w:val="0"/>
                <w:szCs w:val="21"/>
              </w:rPr>
              <w:t>评审因素</w:t>
            </w:r>
          </w:p>
        </w:tc>
        <w:tc>
          <w:tcPr>
            <w:tcW w:w="3345" w:type="pct"/>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r>
              <w:rPr>
                <w:b/>
                <w:bCs/>
                <w:color w:val="000000"/>
                <w:kern w:val="0"/>
                <w:szCs w:val="21"/>
              </w:rPr>
              <w:t>评审标准</w:t>
            </w:r>
          </w:p>
        </w:tc>
        <w:tc>
          <w:tcPr>
            <w:tcW w:w="308" w:type="pct"/>
            <w:tcBorders>
              <w:top w:val="outset" w:color="auto" w:sz="6" w:space="0"/>
              <w:left w:val="outset" w:color="auto" w:sz="6" w:space="0"/>
              <w:bottom w:val="outset" w:color="auto" w:sz="6" w:space="0"/>
              <w:right w:val="outset" w:color="auto" w:sz="6" w:space="0"/>
            </w:tcBorders>
            <w:vAlign w:val="center"/>
          </w:tcPr>
          <w:p>
            <w:pPr>
              <w:widowControl/>
              <w:jc w:val="left"/>
              <w:rPr>
                <w:kern w:val="0"/>
                <w:szCs w:val="21"/>
              </w:rPr>
            </w:pPr>
            <w:r>
              <w:rPr>
                <w:b/>
                <w:bCs/>
                <w:kern w:val="0"/>
                <w:szCs w:val="21"/>
              </w:rPr>
              <w:t>是否必过</w:t>
            </w:r>
          </w:p>
        </w:tc>
      </w:tr>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594" w:hRule="atLeast"/>
        </w:trPr>
        <w:tc>
          <w:tcPr>
            <w:tcW w:w="388" w:type="pct"/>
            <w:vMerge w:val="restart"/>
            <w:tcBorders>
              <w:top w:val="outset" w:color="auto" w:sz="6" w:space="0"/>
              <w:left w:val="outset" w:color="auto" w:sz="6" w:space="0"/>
              <w:bottom w:val="outset" w:color="auto" w:sz="6" w:space="0"/>
              <w:right w:val="outset" w:color="auto" w:sz="6" w:space="0"/>
            </w:tcBorders>
            <w:vAlign w:val="center"/>
          </w:tcPr>
          <w:p>
            <w:pPr>
              <w:widowControl/>
              <w:jc w:val="center"/>
              <w:rPr>
                <w:color w:val="000000"/>
                <w:kern w:val="0"/>
                <w:szCs w:val="21"/>
              </w:rPr>
            </w:pPr>
            <w:r>
              <w:rPr>
                <w:b/>
                <w:bCs/>
                <w:color w:val="000000"/>
                <w:kern w:val="0"/>
                <w:szCs w:val="21"/>
              </w:rPr>
              <w:t>3.</w:t>
            </w:r>
            <w:r>
              <w:rPr>
                <w:rFonts w:hint="eastAsia"/>
                <w:b/>
                <w:bCs/>
                <w:color w:val="000000"/>
                <w:kern w:val="0"/>
                <w:szCs w:val="21"/>
              </w:rPr>
              <w:t>4</w:t>
            </w:r>
          </w:p>
        </w:tc>
        <w:tc>
          <w:tcPr>
            <w:tcW w:w="221" w:type="pct"/>
            <w:vMerge w:val="restart"/>
            <w:tcBorders>
              <w:top w:val="outset" w:color="auto" w:sz="6" w:space="0"/>
              <w:left w:val="outset" w:color="auto" w:sz="6" w:space="0"/>
              <w:bottom w:val="outset" w:color="auto" w:sz="6" w:space="0"/>
              <w:right w:val="outset" w:color="auto" w:sz="6" w:space="0"/>
            </w:tcBorders>
            <w:vAlign w:val="center"/>
          </w:tcPr>
          <w:p>
            <w:pPr>
              <w:widowControl/>
              <w:jc w:val="center"/>
              <w:rPr>
                <w:color w:val="000000"/>
                <w:kern w:val="0"/>
                <w:szCs w:val="21"/>
              </w:rPr>
            </w:pPr>
            <w:r>
              <w:rPr>
                <w:b/>
                <w:bCs/>
                <w:color w:val="000000"/>
                <w:kern w:val="0"/>
                <w:szCs w:val="21"/>
              </w:rPr>
              <w:t>技术详评标准</w:t>
            </w:r>
          </w:p>
        </w:tc>
        <w:tc>
          <w:tcPr>
            <w:tcW w:w="4391" w:type="pct"/>
            <w:gridSpan w:val="3"/>
            <w:tcBorders>
              <w:top w:val="outset" w:color="auto" w:sz="6" w:space="0"/>
              <w:left w:val="outset" w:color="auto" w:sz="6" w:space="0"/>
              <w:right w:val="outset" w:color="auto" w:sz="6" w:space="0"/>
            </w:tcBorders>
            <w:tcMar>
              <w:left w:w="75" w:type="dxa"/>
            </w:tcMar>
            <w:vAlign w:val="center"/>
          </w:tcPr>
          <w:p>
            <w:pPr>
              <w:jc w:val="left"/>
              <w:rPr>
                <w:color w:val="000000"/>
                <w:kern w:val="0"/>
                <w:szCs w:val="21"/>
              </w:rPr>
            </w:pPr>
            <w:r>
              <w:rPr>
                <w:color w:val="000000"/>
                <w:kern w:val="0"/>
                <w:szCs w:val="21"/>
              </w:rPr>
              <w:t xml:space="preserve">施工组织设计 </w:t>
            </w:r>
          </w:p>
        </w:tc>
      </w:tr>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510" w:hRule="atLeast"/>
        </w:trPr>
        <w:tc>
          <w:tcPr>
            <w:tcW w:w="388" w:type="pct"/>
            <w:vMerge w:val="continue"/>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p>
        </w:tc>
        <w:tc>
          <w:tcPr>
            <w:tcW w:w="221" w:type="pct"/>
            <w:vMerge w:val="continue"/>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p>
        </w:tc>
        <w:tc>
          <w:tcPr>
            <w:tcW w:w="738" w:type="pct"/>
            <w:tcBorders>
              <w:top w:val="outset" w:color="auto" w:sz="6" w:space="0"/>
              <w:left w:val="outset" w:color="auto" w:sz="6" w:space="0"/>
              <w:bottom w:val="outset" w:color="auto" w:sz="6" w:space="0"/>
              <w:right w:val="outset" w:color="auto" w:sz="6" w:space="0"/>
            </w:tcBorders>
            <w:tcMar>
              <w:left w:w="75" w:type="dxa"/>
            </w:tcMar>
            <w:vAlign w:val="center"/>
          </w:tcPr>
          <w:p>
            <w:pPr>
              <w:widowControl/>
              <w:jc w:val="center"/>
              <w:rPr>
                <w:color w:val="000000"/>
                <w:kern w:val="0"/>
                <w:szCs w:val="21"/>
              </w:rPr>
            </w:pPr>
            <w:r>
              <w:rPr>
                <w:color w:val="000000"/>
                <w:kern w:val="0"/>
                <w:szCs w:val="21"/>
              </w:rPr>
              <w:t>工程概况</w:t>
            </w:r>
          </w:p>
        </w:tc>
        <w:tc>
          <w:tcPr>
            <w:tcW w:w="3345" w:type="pct"/>
            <w:tcBorders>
              <w:top w:val="outset" w:color="auto" w:sz="6" w:space="0"/>
              <w:left w:val="outset" w:color="auto" w:sz="6" w:space="0"/>
              <w:bottom w:val="outset" w:color="auto" w:sz="6" w:space="0"/>
              <w:right w:val="outset" w:color="auto" w:sz="6" w:space="0"/>
            </w:tcBorders>
            <w:tcMar>
              <w:left w:w="75" w:type="dxa"/>
            </w:tcMar>
            <w:vAlign w:val="center"/>
          </w:tcPr>
          <w:p>
            <w:pPr>
              <w:widowControl/>
              <w:jc w:val="left"/>
              <w:rPr>
                <w:color w:val="000000"/>
                <w:kern w:val="0"/>
                <w:szCs w:val="21"/>
              </w:rPr>
            </w:pPr>
            <w:r>
              <w:rPr>
                <w:color w:val="000000"/>
                <w:kern w:val="0"/>
                <w:szCs w:val="21"/>
              </w:rPr>
              <w:t>描述是否准确</w:t>
            </w:r>
            <w:r>
              <w:rPr>
                <w:rFonts w:hint="eastAsia"/>
                <w:color w:val="000000"/>
                <w:kern w:val="0"/>
                <w:szCs w:val="21"/>
              </w:rPr>
              <w:t>。</w:t>
            </w:r>
          </w:p>
        </w:tc>
        <w:tc>
          <w:tcPr>
            <w:tcW w:w="308" w:type="pct"/>
            <w:tcBorders>
              <w:top w:val="outset" w:color="auto" w:sz="6" w:space="0"/>
              <w:left w:val="outset" w:color="auto" w:sz="6" w:space="0"/>
              <w:bottom w:val="outset" w:color="auto" w:sz="6" w:space="0"/>
              <w:right w:val="outset" w:color="auto" w:sz="6" w:space="0"/>
            </w:tcBorders>
            <w:tcMar>
              <w:left w:w="75" w:type="dxa"/>
            </w:tcMar>
            <w:vAlign w:val="center"/>
          </w:tcPr>
          <w:p>
            <w:pPr>
              <w:widowControl/>
              <w:jc w:val="left"/>
              <w:rPr>
                <w:color w:val="000000"/>
                <w:kern w:val="0"/>
                <w:szCs w:val="21"/>
              </w:rPr>
            </w:pPr>
            <w:r>
              <w:rPr>
                <w:color w:val="000000"/>
                <w:szCs w:val="21"/>
              </w:rPr>
              <w:t>否</w:t>
            </w:r>
          </w:p>
        </w:tc>
      </w:tr>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510" w:hRule="atLeast"/>
        </w:trPr>
        <w:tc>
          <w:tcPr>
            <w:tcW w:w="388" w:type="pct"/>
            <w:vMerge w:val="continue"/>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p>
        </w:tc>
        <w:tc>
          <w:tcPr>
            <w:tcW w:w="221" w:type="pct"/>
            <w:vMerge w:val="continue"/>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p>
        </w:tc>
        <w:tc>
          <w:tcPr>
            <w:tcW w:w="738" w:type="pct"/>
            <w:tcBorders>
              <w:top w:val="outset" w:color="auto" w:sz="6" w:space="0"/>
              <w:left w:val="outset" w:color="auto" w:sz="6" w:space="0"/>
              <w:bottom w:val="outset" w:color="auto" w:sz="6" w:space="0"/>
              <w:right w:val="outset" w:color="auto" w:sz="6" w:space="0"/>
            </w:tcBorders>
            <w:tcMar>
              <w:left w:w="75" w:type="dxa"/>
            </w:tcMar>
            <w:vAlign w:val="center"/>
          </w:tcPr>
          <w:p>
            <w:pPr>
              <w:widowControl/>
              <w:jc w:val="center"/>
              <w:rPr>
                <w:color w:val="000000"/>
                <w:kern w:val="0"/>
                <w:szCs w:val="21"/>
              </w:rPr>
            </w:pPr>
            <w:r>
              <w:rPr>
                <w:color w:val="000000"/>
                <w:kern w:val="0"/>
                <w:szCs w:val="21"/>
              </w:rPr>
              <w:t>主要施工方法</w:t>
            </w:r>
          </w:p>
        </w:tc>
        <w:tc>
          <w:tcPr>
            <w:tcW w:w="3345" w:type="pct"/>
            <w:tcBorders>
              <w:top w:val="outset" w:color="auto" w:sz="6" w:space="0"/>
              <w:left w:val="outset" w:color="auto" w:sz="6" w:space="0"/>
              <w:bottom w:val="outset" w:color="auto" w:sz="6" w:space="0"/>
              <w:right w:val="outset" w:color="auto" w:sz="6" w:space="0"/>
            </w:tcBorders>
            <w:tcMar>
              <w:left w:w="75" w:type="dxa"/>
            </w:tcMar>
            <w:vAlign w:val="center"/>
          </w:tcPr>
          <w:p>
            <w:pPr>
              <w:widowControl/>
              <w:jc w:val="left"/>
              <w:rPr>
                <w:color w:val="000000"/>
                <w:kern w:val="0"/>
                <w:szCs w:val="21"/>
              </w:rPr>
            </w:pPr>
            <w:r>
              <w:rPr>
                <w:color w:val="000000"/>
                <w:kern w:val="0"/>
                <w:szCs w:val="21"/>
              </w:rPr>
              <w:t>各主要分部施工方法符合项目实际，须有详尽的施工技术方案，工艺先进、方法科学合理、可行，能指导具体施工并确保安全。</w:t>
            </w:r>
          </w:p>
        </w:tc>
        <w:tc>
          <w:tcPr>
            <w:tcW w:w="308" w:type="pct"/>
            <w:tcBorders>
              <w:top w:val="outset" w:color="auto" w:sz="6" w:space="0"/>
              <w:left w:val="outset" w:color="auto" w:sz="6" w:space="0"/>
              <w:bottom w:val="outset" w:color="auto" w:sz="6" w:space="0"/>
              <w:right w:val="outset" w:color="auto" w:sz="6" w:space="0"/>
            </w:tcBorders>
            <w:tcMar>
              <w:left w:w="75" w:type="dxa"/>
            </w:tcMar>
            <w:vAlign w:val="center"/>
          </w:tcPr>
          <w:p>
            <w:pPr>
              <w:widowControl/>
              <w:jc w:val="left"/>
              <w:rPr>
                <w:color w:val="000000"/>
                <w:kern w:val="0"/>
                <w:szCs w:val="21"/>
              </w:rPr>
            </w:pPr>
            <w:r>
              <w:rPr>
                <w:color w:val="000000"/>
                <w:szCs w:val="21"/>
              </w:rPr>
              <w:t>否</w:t>
            </w:r>
          </w:p>
        </w:tc>
      </w:tr>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510" w:hRule="atLeast"/>
        </w:trPr>
        <w:tc>
          <w:tcPr>
            <w:tcW w:w="388" w:type="pct"/>
            <w:vMerge w:val="continue"/>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p>
        </w:tc>
        <w:tc>
          <w:tcPr>
            <w:tcW w:w="221" w:type="pct"/>
            <w:vMerge w:val="continue"/>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p>
        </w:tc>
        <w:tc>
          <w:tcPr>
            <w:tcW w:w="738" w:type="pct"/>
            <w:tcBorders>
              <w:top w:val="outset" w:color="auto" w:sz="6" w:space="0"/>
              <w:left w:val="outset" w:color="auto" w:sz="6" w:space="0"/>
              <w:bottom w:val="outset" w:color="auto" w:sz="6" w:space="0"/>
              <w:right w:val="outset" w:color="auto" w:sz="6" w:space="0"/>
            </w:tcBorders>
            <w:tcMar>
              <w:left w:w="75" w:type="dxa"/>
            </w:tcMar>
            <w:vAlign w:val="center"/>
          </w:tcPr>
          <w:p>
            <w:pPr>
              <w:widowControl/>
              <w:jc w:val="center"/>
              <w:rPr>
                <w:color w:val="000000"/>
                <w:kern w:val="0"/>
                <w:szCs w:val="21"/>
              </w:rPr>
            </w:pPr>
            <w:r>
              <w:rPr>
                <w:color w:val="000000"/>
                <w:kern w:val="0"/>
                <w:szCs w:val="21"/>
              </w:rPr>
              <w:t>拟投入的主要物资计划</w:t>
            </w:r>
          </w:p>
        </w:tc>
        <w:tc>
          <w:tcPr>
            <w:tcW w:w="3345" w:type="pct"/>
            <w:tcBorders>
              <w:top w:val="outset" w:color="auto" w:sz="6" w:space="0"/>
              <w:left w:val="outset" w:color="auto" w:sz="6" w:space="0"/>
              <w:bottom w:val="outset" w:color="auto" w:sz="6" w:space="0"/>
              <w:right w:val="outset" w:color="auto" w:sz="6" w:space="0"/>
            </w:tcBorders>
            <w:tcMar>
              <w:left w:w="75" w:type="dxa"/>
            </w:tcMar>
            <w:vAlign w:val="center"/>
          </w:tcPr>
          <w:p>
            <w:pPr>
              <w:widowControl/>
              <w:jc w:val="left"/>
              <w:rPr>
                <w:color w:val="000000"/>
                <w:kern w:val="0"/>
                <w:szCs w:val="21"/>
              </w:rPr>
            </w:pPr>
            <w:r>
              <w:rPr>
                <w:color w:val="000000"/>
                <w:kern w:val="0"/>
                <w:szCs w:val="21"/>
              </w:rPr>
              <w:t>投入的施工材料有详细计划且计划周密，数量、选型配置、进场数量、时间安排合理，满足施工需要</w:t>
            </w:r>
            <w:r>
              <w:rPr>
                <w:rFonts w:hint="eastAsia"/>
                <w:color w:val="000000"/>
                <w:kern w:val="0"/>
                <w:szCs w:val="21"/>
              </w:rPr>
              <w:t>。</w:t>
            </w:r>
          </w:p>
        </w:tc>
        <w:tc>
          <w:tcPr>
            <w:tcW w:w="308" w:type="pct"/>
            <w:tcBorders>
              <w:top w:val="outset" w:color="auto" w:sz="6" w:space="0"/>
              <w:left w:val="outset" w:color="auto" w:sz="6" w:space="0"/>
              <w:bottom w:val="outset" w:color="auto" w:sz="6" w:space="0"/>
              <w:right w:val="outset" w:color="auto" w:sz="6" w:space="0"/>
            </w:tcBorders>
            <w:tcMar>
              <w:left w:w="75" w:type="dxa"/>
            </w:tcMar>
            <w:vAlign w:val="center"/>
          </w:tcPr>
          <w:p>
            <w:pPr>
              <w:widowControl/>
              <w:jc w:val="left"/>
              <w:rPr>
                <w:color w:val="000000"/>
                <w:kern w:val="0"/>
                <w:szCs w:val="21"/>
              </w:rPr>
            </w:pPr>
            <w:r>
              <w:rPr>
                <w:color w:val="000000"/>
                <w:szCs w:val="21"/>
              </w:rPr>
              <w:t>否</w:t>
            </w:r>
          </w:p>
        </w:tc>
      </w:tr>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510" w:hRule="atLeast"/>
        </w:trPr>
        <w:tc>
          <w:tcPr>
            <w:tcW w:w="388" w:type="pct"/>
            <w:vMerge w:val="continue"/>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p>
        </w:tc>
        <w:tc>
          <w:tcPr>
            <w:tcW w:w="221" w:type="pct"/>
            <w:vMerge w:val="continue"/>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p>
        </w:tc>
        <w:tc>
          <w:tcPr>
            <w:tcW w:w="738" w:type="pct"/>
            <w:tcBorders>
              <w:top w:val="outset" w:color="auto" w:sz="6" w:space="0"/>
              <w:left w:val="outset" w:color="auto" w:sz="6" w:space="0"/>
              <w:bottom w:val="outset" w:color="auto" w:sz="6" w:space="0"/>
              <w:right w:val="outset" w:color="auto" w:sz="6" w:space="0"/>
            </w:tcBorders>
            <w:tcMar>
              <w:left w:w="75" w:type="dxa"/>
            </w:tcMar>
            <w:vAlign w:val="center"/>
          </w:tcPr>
          <w:p>
            <w:pPr>
              <w:widowControl/>
              <w:jc w:val="center"/>
              <w:rPr>
                <w:color w:val="000000"/>
                <w:kern w:val="0"/>
                <w:szCs w:val="21"/>
              </w:rPr>
            </w:pPr>
            <w:r>
              <w:rPr>
                <w:color w:val="000000"/>
                <w:kern w:val="0"/>
                <w:szCs w:val="21"/>
              </w:rPr>
              <w:t>拟投入的主要施工机械、设备计划</w:t>
            </w:r>
          </w:p>
        </w:tc>
        <w:tc>
          <w:tcPr>
            <w:tcW w:w="3345" w:type="pct"/>
            <w:tcBorders>
              <w:top w:val="outset" w:color="auto" w:sz="6" w:space="0"/>
              <w:left w:val="outset" w:color="auto" w:sz="6" w:space="0"/>
              <w:bottom w:val="outset" w:color="auto" w:sz="6" w:space="0"/>
              <w:right w:val="outset" w:color="auto" w:sz="6" w:space="0"/>
            </w:tcBorders>
            <w:tcMar>
              <w:left w:w="75" w:type="dxa"/>
            </w:tcMar>
            <w:vAlign w:val="center"/>
          </w:tcPr>
          <w:p>
            <w:pPr>
              <w:widowControl/>
              <w:jc w:val="left"/>
              <w:rPr>
                <w:color w:val="000000"/>
                <w:kern w:val="0"/>
                <w:szCs w:val="21"/>
              </w:rPr>
            </w:pPr>
            <w:r>
              <w:rPr>
                <w:color w:val="000000"/>
                <w:kern w:val="0"/>
                <w:szCs w:val="21"/>
              </w:rPr>
              <w:t>投入的施工机械、设备、机具有详细计划且计划周密，设备数量、选型配置、进场数量、时间安排合理，满足施工需要。</w:t>
            </w:r>
          </w:p>
        </w:tc>
        <w:tc>
          <w:tcPr>
            <w:tcW w:w="308" w:type="pct"/>
            <w:tcBorders>
              <w:top w:val="outset" w:color="auto" w:sz="6" w:space="0"/>
              <w:left w:val="outset" w:color="auto" w:sz="6" w:space="0"/>
              <w:bottom w:val="outset" w:color="auto" w:sz="6" w:space="0"/>
              <w:right w:val="outset" w:color="auto" w:sz="6" w:space="0"/>
            </w:tcBorders>
            <w:tcMar>
              <w:left w:w="75" w:type="dxa"/>
            </w:tcMar>
            <w:vAlign w:val="center"/>
          </w:tcPr>
          <w:p>
            <w:pPr>
              <w:widowControl/>
              <w:jc w:val="left"/>
              <w:rPr>
                <w:color w:val="000000"/>
                <w:kern w:val="0"/>
                <w:szCs w:val="21"/>
              </w:rPr>
            </w:pPr>
            <w:r>
              <w:rPr>
                <w:rFonts w:hint="eastAsia"/>
                <w:color w:val="000000"/>
                <w:szCs w:val="21"/>
              </w:rPr>
              <w:t>是</w:t>
            </w:r>
          </w:p>
        </w:tc>
      </w:tr>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510" w:hRule="atLeast"/>
        </w:trPr>
        <w:tc>
          <w:tcPr>
            <w:tcW w:w="388" w:type="pct"/>
            <w:vMerge w:val="continue"/>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p>
        </w:tc>
        <w:tc>
          <w:tcPr>
            <w:tcW w:w="221" w:type="pct"/>
            <w:vMerge w:val="continue"/>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p>
        </w:tc>
        <w:tc>
          <w:tcPr>
            <w:tcW w:w="738" w:type="pct"/>
            <w:tcBorders>
              <w:top w:val="outset" w:color="auto" w:sz="6" w:space="0"/>
              <w:left w:val="outset" w:color="auto" w:sz="6" w:space="0"/>
              <w:bottom w:val="outset" w:color="auto" w:sz="6" w:space="0"/>
              <w:right w:val="outset" w:color="auto" w:sz="6" w:space="0"/>
            </w:tcBorders>
            <w:tcMar>
              <w:left w:w="75" w:type="dxa"/>
            </w:tcMar>
            <w:vAlign w:val="center"/>
          </w:tcPr>
          <w:p>
            <w:pPr>
              <w:widowControl/>
              <w:jc w:val="center"/>
              <w:rPr>
                <w:color w:val="000000"/>
                <w:kern w:val="0"/>
                <w:szCs w:val="21"/>
              </w:rPr>
            </w:pPr>
            <w:r>
              <w:rPr>
                <w:color w:val="000000"/>
                <w:kern w:val="0"/>
                <w:szCs w:val="21"/>
              </w:rPr>
              <w:t>劳动力</w:t>
            </w:r>
            <w:r>
              <w:rPr>
                <w:rFonts w:hint="eastAsia"/>
                <w:color w:val="000000"/>
                <w:kern w:val="0"/>
                <w:szCs w:val="21"/>
              </w:rPr>
              <w:t xml:space="preserve">      </w:t>
            </w:r>
            <w:r>
              <w:rPr>
                <w:color w:val="000000"/>
                <w:kern w:val="0"/>
                <w:szCs w:val="21"/>
              </w:rPr>
              <w:t>安排计划</w:t>
            </w:r>
          </w:p>
        </w:tc>
        <w:tc>
          <w:tcPr>
            <w:tcW w:w="3345" w:type="pct"/>
            <w:tcBorders>
              <w:top w:val="outset" w:color="auto" w:sz="6" w:space="0"/>
              <w:left w:val="outset" w:color="auto" w:sz="6" w:space="0"/>
              <w:bottom w:val="outset" w:color="auto" w:sz="6" w:space="0"/>
              <w:right w:val="outset" w:color="auto" w:sz="6" w:space="0"/>
            </w:tcBorders>
            <w:tcMar>
              <w:left w:w="75" w:type="dxa"/>
            </w:tcMar>
            <w:vAlign w:val="center"/>
          </w:tcPr>
          <w:p>
            <w:pPr>
              <w:widowControl/>
              <w:jc w:val="left"/>
              <w:rPr>
                <w:color w:val="000000"/>
                <w:kern w:val="0"/>
                <w:szCs w:val="21"/>
              </w:rPr>
            </w:pPr>
            <w:r>
              <w:rPr>
                <w:color w:val="000000"/>
                <w:kern w:val="0"/>
                <w:szCs w:val="21"/>
              </w:rPr>
              <w:t>各主要施工工序应有详细周密的劳动力安排计划明细，有各工种劳动力安排计划，劳动力投入经济合理，满足施工需要。</w:t>
            </w:r>
          </w:p>
        </w:tc>
        <w:tc>
          <w:tcPr>
            <w:tcW w:w="308" w:type="pct"/>
            <w:tcBorders>
              <w:top w:val="outset" w:color="auto" w:sz="6" w:space="0"/>
              <w:left w:val="outset" w:color="auto" w:sz="6" w:space="0"/>
              <w:bottom w:val="outset" w:color="auto" w:sz="6" w:space="0"/>
              <w:right w:val="outset" w:color="auto" w:sz="6" w:space="0"/>
            </w:tcBorders>
            <w:tcMar>
              <w:left w:w="75" w:type="dxa"/>
            </w:tcMar>
            <w:vAlign w:val="center"/>
          </w:tcPr>
          <w:p>
            <w:pPr>
              <w:widowControl/>
              <w:jc w:val="left"/>
              <w:rPr>
                <w:color w:val="000000"/>
                <w:kern w:val="0"/>
                <w:szCs w:val="21"/>
              </w:rPr>
            </w:pPr>
            <w:r>
              <w:rPr>
                <w:rFonts w:hint="eastAsia"/>
                <w:color w:val="000000"/>
                <w:szCs w:val="21"/>
              </w:rPr>
              <w:t>是</w:t>
            </w:r>
          </w:p>
        </w:tc>
      </w:tr>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510" w:hRule="atLeast"/>
        </w:trPr>
        <w:tc>
          <w:tcPr>
            <w:tcW w:w="388" w:type="pct"/>
            <w:vMerge w:val="continue"/>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p>
        </w:tc>
        <w:tc>
          <w:tcPr>
            <w:tcW w:w="221" w:type="pct"/>
            <w:vMerge w:val="continue"/>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p>
        </w:tc>
        <w:tc>
          <w:tcPr>
            <w:tcW w:w="738" w:type="pct"/>
            <w:tcBorders>
              <w:top w:val="outset" w:color="auto" w:sz="6" w:space="0"/>
              <w:left w:val="outset" w:color="auto" w:sz="6" w:space="0"/>
              <w:bottom w:val="outset" w:color="auto" w:sz="6" w:space="0"/>
              <w:right w:val="outset" w:color="auto" w:sz="6" w:space="0"/>
            </w:tcBorders>
            <w:tcMar>
              <w:left w:w="75" w:type="dxa"/>
            </w:tcMar>
            <w:vAlign w:val="center"/>
          </w:tcPr>
          <w:p>
            <w:pPr>
              <w:widowControl/>
              <w:jc w:val="center"/>
              <w:rPr>
                <w:color w:val="000000"/>
                <w:kern w:val="0"/>
                <w:szCs w:val="21"/>
              </w:rPr>
            </w:pPr>
            <w:r>
              <w:rPr>
                <w:color w:val="000000"/>
                <w:kern w:val="0"/>
                <w:szCs w:val="21"/>
              </w:rPr>
              <w:t>确保工程质量的技术组织措施</w:t>
            </w:r>
          </w:p>
        </w:tc>
        <w:tc>
          <w:tcPr>
            <w:tcW w:w="3345" w:type="pct"/>
            <w:tcBorders>
              <w:top w:val="outset" w:color="auto" w:sz="6" w:space="0"/>
              <w:left w:val="outset" w:color="auto" w:sz="6" w:space="0"/>
              <w:bottom w:val="outset" w:color="auto" w:sz="6" w:space="0"/>
              <w:right w:val="outset" w:color="auto" w:sz="6" w:space="0"/>
            </w:tcBorders>
            <w:tcMar>
              <w:left w:w="75" w:type="dxa"/>
            </w:tcMar>
            <w:vAlign w:val="center"/>
          </w:tcPr>
          <w:p>
            <w:pPr>
              <w:widowControl/>
              <w:jc w:val="left"/>
              <w:rPr>
                <w:color w:val="000000"/>
                <w:kern w:val="0"/>
                <w:szCs w:val="21"/>
              </w:rPr>
            </w:pPr>
            <w:r>
              <w:rPr>
                <w:color w:val="000000"/>
                <w:kern w:val="0"/>
                <w:szCs w:val="21"/>
              </w:rPr>
              <w:t>施工项目应有专门的质量技术管理班子和制度，且人员配备合理，制度健全。主要工序应有质量技术保证措施和手段，自控体系完整，能有效保证技术质量，达到承诺的质量标准。</w:t>
            </w:r>
          </w:p>
        </w:tc>
        <w:tc>
          <w:tcPr>
            <w:tcW w:w="308" w:type="pct"/>
            <w:tcBorders>
              <w:top w:val="outset" w:color="auto" w:sz="6" w:space="0"/>
              <w:left w:val="outset" w:color="auto" w:sz="6" w:space="0"/>
              <w:bottom w:val="outset" w:color="auto" w:sz="6" w:space="0"/>
              <w:right w:val="outset" w:color="auto" w:sz="6" w:space="0"/>
            </w:tcBorders>
            <w:tcMar>
              <w:left w:w="75" w:type="dxa"/>
            </w:tcMar>
            <w:vAlign w:val="center"/>
          </w:tcPr>
          <w:p>
            <w:pPr>
              <w:widowControl/>
              <w:jc w:val="left"/>
              <w:rPr>
                <w:color w:val="000000"/>
                <w:kern w:val="0"/>
                <w:szCs w:val="21"/>
              </w:rPr>
            </w:pPr>
            <w:r>
              <w:rPr>
                <w:color w:val="000000"/>
                <w:szCs w:val="21"/>
              </w:rPr>
              <w:t>是</w:t>
            </w:r>
          </w:p>
        </w:tc>
      </w:tr>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510" w:hRule="atLeast"/>
        </w:trPr>
        <w:tc>
          <w:tcPr>
            <w:tcW w:w="388" w:type="pct"/>
            <w:vMerge w:val="continue"/>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p>
        </w:tc>
        <w:tc>
          <w:tcPr>
            <w:tcW w:w="221" w:type="pct"/>
            <w:vMerge w:val="continue"/>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p>
        </w:tc>
        <w:tc>
          <w:tcPr>
            <w:tcW w:w="738" w:type="pct"/>
            <w:tcBorders>
              <w:top w:val="outset" w:color="auto" w:sz="6" w:space="0"/>
              <w:left w:val="outset" w:color="auto" w:sz="6" w:space="0"/>
              <w:bottom w:val="outset" w:color="auto" w:sz="6" w:space="0"/>
              <w:right w:val="outset" w:color="auto" w:sz="6" w:space="0"/>
            </w:tcBorders>
            <w:tcMar>
              <w:left w:w="75" w:type="dxa"/>
            </w:tcMar>
            <w:vAlign w:val="center"/>
          </w:tcPr>
          <w:p>
            <w:pPr>
              <w:widowControl/>
              <w:jc w:val="center"/>
              <w:rPr>
                <w:color w:val="000000"/>
                <w:kern w:val="0"/>
                <w:szCs w:val="21"/>
              </w:rPr>
            </w:pPr>
            <w:r>
              <w:rPr>
                <w:color w:val="000000"/>
                <w:kern w:val="0"/>
                <w:szCs w:val="21"/>
              </w:rPr>
              <w:t>确保安全生产的技术组织</w:t>
            </w:r>
            <w:r>
              <w:rPr>
                <w:rFonts w:hint="eastAsia"/>
                <w:color w:val="000000"/>
                <w:kern w:val="0"/>
                <w:szCs w:val="21"/>
              </w:rPr>
              <w:t xml:space="preserve">  </w:t>
            </w:r>
            <w:r>
              <w:rPr>
                <w:color w:val="000000"/>
                <w:kern w:val="0"/>
                <w:szCs w:val="21"/>
              </w:rPr>
              <w:t>措施</w:t>
            </w:r>
          </w:p>
        </w:tc>
        <w:tc>
          <w:tcPr>
            <w:tcW w:w="3345" w:type="pct"/>
            <w:tcBorders>
              <w:top w:val="outset" w:color="auto" w:sz="6" w:space="0"/>
              <w:left w:val="outset" w:color="auto" w:sz="6" w:space="0"/>
              <w:bottom w:val="outset" w:color="auto" w:sz="6" w:space="0"/>
              <w:right w:val="outset" w:color="auto" w:sz="6" w:space="0"/>
            </w:tcBorders>
            <w:tcMar>
              <w:left w:w="75" w:type="dxa"/>
            </w:tcMar>
            <w:vAlign w:val="center"/>
          </w:tcPr>
          <w:p>
            <w:pPr>
              <w:widowControl/>
              <w:jc w:val="left"/>
              <w:rPr>
                <w:color w:val="000000"/>
                <w:kern w:val="0"/>
                <w:szCs w:val="21"/>
              </w:rPr>
            </w:pPr>
            <w:r>
              <w:rPr>
                <w:color w:val="000000"/>
                <w:kern w:val="0"/>
                <w:szCs w:val="21"/>
              </w:rPr>
              <w:t>施工项目应有专门的安全管理人员和制度，且人员配备合理，制度健全，各道工序安全技术措施针对性强，符合实际且满足有关安全技术标准要求。现场防火、社会治安安全措施得力。</w:t>
            </w:r>
          </w:p>
        </w:tc>
        <w:tc>
          <w:tcPr>
            <w:tcW w:w="308" w:type="pct"/>
            <w:tcBorders>
              <w:top w:val="outset" w:color="auto" w:sz="6" w:space="0"/>
              <w:left w:val="outset" w:color="auto" w:sz="6" w:space="0"/>
              <w:bottom w:val="outset" w:color="auto" w:sz="6" w:space="0"/>
              <w:right w:val="outset" w:color="auto" w:sz="6" w:space="0"/>
            </w:tcBorders>
            <w:tcMar>
              <w:left w:w="75" w:type="dxa"/>
            </w:tcMar>
            <w:vAlign w:val="center"/>
          </w:tcPr>
          <w:p>
            <w:pPr>
              <w:widowControl/>
              <w:jc w:val="left"/>
              <w:rPr>
                <w:color w:val="000000"/>
                <w:kern w:val="0"/>
                <w:szCs w:val="21"/>
              </w:rPr>
            </w:pPr>
            <w:r>
              <w:rPr>
                <w:color w:val="000000"/>
                <w:szCs w:val="21"/>
              </w:rPr>
              <w:t>是</w:t>
            </w:r>
          </w:p>
        </w:tc>
      </w:tr>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510" w:hRule="atLeast"/>
        </w:trPr>
        <w:tc>
          <w:tcPr>
            <w:tcW w:w="388" w:type="pct"/>
            <w:vMerge w:val="continue"/>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p>
        </w:tc>
        <w:tc>
          <w:tcPr>
            <w:tcW w:w="221" w:type="pct"/>
            <w:vMerge w:val="continue"/>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p>
        </w:tc>
        <w:tc>
          <w:tcPr>
            <w:tcW w:w="738" w:type="pct"/>
            <w:tcBorders>
              <w:top w:val="outset" w:color="auto" w:sz="6" w:space="0"/>
              <w:left w:val="outset" w:color="auto" w:sz="6" w:space="0"/>
              <w:bottom w:val="outset" w:color="auto" w:sz="6" w:space="0"/>
              <w:right w:val="outset" w:color="auto" w:sz="6" w:space="0"/>
            </w:tcBorders>
            <w:tcMar>
              <w:left w:w="75" w:type="dxa"/>
            </w:tcMar>
            <w:vAlign w:val="center"/>
          </w:tcPr>
          <w:p>
            <w:pPr>
              <w:widowControl/>
              <w:jc w:val="center"/>
              <w:rPr>
                <w:kern w:val="0"/>
                <w:szCs w:val="21"/>
              </w:rPr>
            </w:pPr>
            <w:r>
              <w:rPr>
                <w:kern w:val="0"/>
                <w:szCs w:val="21"/>
              </w:rPr>
              <w:t>确保工期的</w:t>
            </w:r>
            <w:r>
              <w:rPr>
                <w:rFonts w:hint="eastAsia"/>
                <w:kern w:val="0"/>
                <w:szCs w:val="21"/>
              </w:rPr>
              <w:t xml:space="preserve">  </w:t>
            </w:r>
            <w:r>
              <w:rPr>
                <w:kern w:val="0"/>
                <w:szCs w:val="21"/>
              </w:rPr>
              <w:t>技术组织措施</w:t>
            </w:r>
          </w:p>
        </w:tc>
        <w:tc>
          <w:tcPr>
            <w:tcW w:w="3345" w:type="pct"/>
            <w:tcBorders>
              <w:top w:val="outset" w:color="auto" w:sz="6" w:space="0"/>
              <w:left w:val="outset" w:color="auto" w:sz="6" w:space="0"/>
              <w:bottom w:val="outset" w:color="auto" w:sz="6" w:space="0"/>
              <w:right w:val="outset" w:color="auto" w:sz="6" w:space="0"/>
            </w:tcBorders>
            <w:tcMar>
              <w:left w:w="75" w:type="dxa"/>
            </w:tcMar>
            <w:vAlign w:val="center"/>
          </w:tcPr>
          <w:p>
            <w:pPr>
              <w:widowControl/>
              <w:jc w:val="left"/>
              <w:rPr>
                <w:kern w:val="0"/>
                <w:szCs w:val="21"/>
              </w:rPr>
            </w:pPr>
            <w:r>
              <w:rPr>
                <w:kern w:val="0"/>
                <w:szCs w:val="21"/>
              </w:rPr>
              <w:t>在施工工艺、施工方法、材料选用、劳动力安排、技术等方面有保证工期的具体措施且措施得当。有控制工期的施工进度计划。应有施工总进度表或施工网络图，各项计划图表编制完善，安排科学合理，符合本项目施工实际要求。</w:t>
            </w:r>
          </w:p>
        </w:tc>
        <w:tc>
          <w:tcPr>
            <w:tcW w:w="308" w:type="pct"/>
            <w:tcBorders>
              <w:top w:val="outset" w:color="auto" w:sz="6" w:space="0"/>
              <w:left w:val="outset" w:color="auto" w:sz="6" w:space="0"/>
              <w:bottom w:val="outset" w:color="auto" w:sz="6" w:space="0"/>
              <w:right w:val="outset" w:color="auto" w:sz="6" w:space="0"/>
            </w:tcBorders>
            <w:tcMar>
              <w:left w:w="75" w:type="dxa"/>
            </w:tcMar>
            <w:vAlign w:val="center"/>
          </w:tcPr>
          <w:p>
            <w:pPr>
              <w:widowControl/>
              <w:jc w:val="left"/>
              <w:rPr>
                <w:color w:val="000000"/>
                <w:kern w:val="0"/>
                <w:szCs w:val="21"/>
              </w:rPr>
            </w:pPr>
            <w:r>
              <w:rPr>
                <w:color w:val="000000"/>
                <w:szCs w:val="21"/>
              </w:rPr>
              <w:t>是</w:t>
            </w:r>
          </w:p>
        </w:tc>
      </w:tr>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510" w:hRule="atLeast"/>
        </w:trPr>
        <w:tc>
          <w:tcPr>
            <w:tcW w:w="388" w:type="pct"/>
            <w:vMerge w:val="continue"/>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p>
        </w:tc>
        <w:tc>
          <w:tcPr>
            <w:tcW w:w="221" w:type="pct"/>
            <w:vMerge w:val="continue"/>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p>
        </w:tc>
        <w:tc>
          <w:tcPr>
            <w:tcW w:w="738" w:type="pct"/>
            <w:tcBorders>
              <w:top w:val="outset" w:color="auto" w:sz="6" w:space="0"/>
              <w:left w:val="outset" w:color="auto" w:sz="6" w:space="0"/>
              <w:bottom w:val="outset" w:color="auto" w:sz="6" w:space="0"/>
              <w:right w:val="outset" w:color="auto" w:sz="6" w:space="0"/>
            </w:tcBorders>
            <w:tcMar>
              <w:left w:w="75" w:type="dxa"/>
            </w:tcMar>
            <w:vAlign w:val="center"/>
          </w:tcPr>
          <w:p>
            <w:pPr>
              <w:widowControl/>
              <w:jc w:val="center"/>
              <w:rPr>
                <w:color w:val="000000"/>
                <w:kern w:val="0"/>
                <w:szCs w:val="21"/>
              </w:rPr>
            </w:pPr>
            <w:r>
              <w:rPr>
                <w:color w:val="000000"/>
                <w:kern w:val="0"/>
                <w:szCs w:val="21"/>
              </w:rPr>
              <w:t>确保文明施工的技术组织措施</w:t>
            </w:r>
          </w:p>
        </w:tc>
        <w:tc>
          <w:tcPr>
            <w:tcW w:w="3345" w:type="pct"/>
            <w:tcBorders>
              <w:top w:val="outset" w:color="auto" w:sz="6" w:space="0"/>
              <w:left w:val="outset" w:color="auto" w:sz="6" w:space="0"/>
              <w:bottom w:val="outset" w:color="auto" w:sz="6" w:space="0"/>
              <w:right w:val="outset" w:color="auto" w:sz="6" w:space="0"/>
            </w:tcBorders>
            <w:tcMar>
              <w:left w:w="75" w:type="dxa"/>
            </w:tcMar>
            <w:vAlign w:val="center"/>
          </w:tcPr>
          <w:p>
            <w:pPr>
              <w:widowControl/>
              <w:jc w:val="left"/>
              <w:rPr>
                <w:color w:val="000000"/>
                <w:kern w:val="0"/>
                <w:szCs w:val="21"/>
              </w:rPr>
            </w:pPr>
            <w:r>
              <w:rPr>
                <w:color w:val="000000"/>
                <w:kern w:val="0"/>
                <w:szCs w:val="21"/>
              </w:rPr>
              <w:t>针对本工程项目特点，应有现场文明施工计划，环境保护措施，且计划措施内容应达到“安全文明示范工地”标准。各项措施周全、具体、有效。有具体实现现场文明施工目标的承诺。</w:t>
            </w:r>
          </w:p>
        </w:tc>
        <w:tc>
          <w:tcPr>
            <w:tcW w:w="308" w:type="pct"/>
            <w:tcBorders>
              <w:top w:val="outset" w:color="auto" w:sz="6" w:space="0"/>
              <w:left w:val="outset" w:color="auto" w:sz="6" w:space="0"/>
              <w:bottom w:val="outset" w:color="auto" w:sz="6" w:space="0"/>
              <w:right w:val="outset" w:color="auto" w:sz="6" w:space="0"/>
            </w:tcBorders>
            <w:tcMar>
              <w:left w:w="75" w:type="dxa"/>
            </w:tcMar>
            <w:vAlign w:val="center"/>
          </w:tcPr>
          <w:p>
            <w:pPr>
              <w:widowControl/>
              <w:jc w:val="left"/>
              <w:rPr>
                <w:color w:val="000000"/>
                <w:kern w:val="0"/>
                <w:szCs w:val="21"/>
              </w:rPr>
            </w:pPr>
            <w:r>
              <w:rPr>
                <w:color w:val="000000"/>
                <w:szCs w:val="21"/>
              </w:rPr>
              <w:t>否</w:t>
            </w:r>
          </w:p>
        </w:tc>
      </w:tr>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510" w:hRule="atLeast"/>
        </w:trPr>
        <w:tc>
          <w:tcPr>
            <w:tcW w:w="388" w:type="pct"/>
            <w:vMerge w:val="continue"/>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p>
        </w:tc>
        <w:tc>
          <w:tcPr>
            <w:tcW w:w="221" w:type="pct"/>
            <w:vMerge w:val="continue"/>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p>
        </w:tc>
        <w:tc>
          <w:tcPr>
            <w:tcW w:w="738" w:type="pct"/>
            <w:tcBorders>
              <w:top w:val="outset" w:color="auto" w:sz="6" w:space="0"/>
              <w:left w:val="outset" w:color="auto" w:sz="6" w:space="0"/>
              <w:bottom w:val="outset" w:color="auto" w:sz="6" w:space="0"/>
              <w:right w:val="outset" w:color="auto" w:sz="6" w:space="0"/>
            </w:tcBorders>
            <w:tcMar>
              <w:left w:w="75" w:type="dxa"/>
            </w:tcMar>
            <w:vAlign w:val="center"/>
          </w:tcPr>
          <w:p>
            <w:pPr>
              <w:widowControl/>
              <w:jc w:val="center"/>
              <w:rPr>
                <w:kern w:val="0"/>
                <w:szCs w:val="21"/>
              </w:rPr>
            </w:pPr>
            <w:r>
              <w:rPr>
                <w:kern w:val="0"/>
                <w:szCs w:val="21"/>
              </w:rPr>
              <w:t>施工总平面布置图</w:t>
            </w:r>
          </w:p>
        </w:tc>
        <w:tc>
          <w:tcPr>
            <w:tcW w:w="3345" w:type="pct"/>
            <w:tcBorders>
              <w:top w:val="outset" w:color="auto" w:sz="6" w:space="0"/>
              <w:left w:val="outset" w:color="auto" w:sz="6" w:space="0"/>
              <w:bottom w:val="outset" w:color="auto" w:sz="6" w:space="0"/>
              <w:right w:val="outset" w:color="auto" w:sz="6" w:space="0"/>
            </w:tcBorders>
            <w:tcMar>
              <w:left w:w="75" w:type="dxa"/>
            </w:tcMar>
            <w:vAlign w:val="center"/>
          </w:tcPr>
          <w:p>
            <w:pPr>
              <w:widowControl/>
              <w:jc w:val="left"/>
              <w:rPr>
                <w:kern w:val="0"/>
                <w:szCs w:val="21"/>
              </w:rPr>
            </w:pPr>
            <w:r>
              <w:rPr>
                <w:kern w:val="0"/>
                <w:szCs w:val="21"/>
              </w:rPr>
              <w:t>应有施工总平面布置图，安排科学合理，符合本项目施工实际要求。</w:t>
            </w:r>
          </w:p>
        </w:tc>
        <w:tc>
          <w:tcPr>
            <w:tcW w:w="308" w:type="pct"/>
            <w:tcBorders>
              <w:top w:val="outset" w:color="auto" w:sz="6" w:space="0"/>
              <w:left w:val="outset" w:color="auto" w:sz="6" w:space="0"/>
              <w:bottom w:val="outset" w:color="auto" w:sz="6" w:space="0"/>
              <w:right w:val="outset" w:color="auto" w:sz="6" w:space="0"/>
            </w:tcBorders>
            <w:tcMar>
              <w:left w:w="75" w:type="dxa"/>
            </w:tcMar>
            <w:vAlign w:val="center"/>
          </w:tcPr>
          <w:p>
            <w:pPr>
              <w:widowControl/>
              <w:jc w:val="left"/>
              <w:rPr>
                <w:color w:val="000000"/>
                <w:kern w:val="0"/>
                <w:szCs w:val="21"/>
              </w:rPr>
            </w:pPr>
            <w:r>
              <w:rPr>
                <w:color w:val="000000"/>
                <w:szCs w:val="21"/>
              </w:rPr>
              <w:t>否</w:t>
            </w:r>
          </w:p>
        </w:tc>
      </w:tr>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510" w:hRule="atLeast"/>
        </w:trPr>
        <w:tc>
          <w:tcPr>
            <w:tcW w:w="388" w:type="pct"/>
            <w:vMerge w:val="continue"/>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p>
        </w:tc>
        <w:tc>
          <w:tcPr>
            <w:tcW w:w="221" w:type="pct"/>
            <w:vMerge w:val="continue"/>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p>
        </w:tc>
        <w:tc>
          <w:tcPr>
            <w:tcW w:w="738" w:type="pct"/>
            <w:tcBorders>
              <w:top w:val="outset" w:color="auto" w:sz="6" w:space="0"/>
              <w:left w:val="outset" w:color="auto" w:sz="6" w:space="0"/>
              <w:bottom w:val="outset" w:color="auto" w:sz="6" w:space="0"/>
              <w:right w:val="outset" w:color="auto" w:sz="6" w:space="0"/>
            </w:tcBorders>
            <w:tcMar>
              <w:left w:w="75" w:type="dxa"/>
            </w:tcMar>
            <w:vAlign w:val="center"/>
          </w:tcPr>
          <w:p>
            <w:pPr>
              <w:widowControl/>
              <w:jc w:val="center"/>
              <w:rPr>
                <w:color w:val="000000"/>
                <w:kern w:val="0"/>
                <w:szCs w:val="21"/>
              </w:rPr>
            </w:pPr>
            <w:r>
              <w:rPr>
                <w:color w:val="000000"/>
                <w:kern w:val="0"/>
                <w:szCs w:val="21"/>
              </w:rPr>
              <w:t>重点、难点</w:t>
            </w:r>
          </w:p>
        </w:tc>
        <w:tc>
          <w:tcPr>
            <w:tcW w:w="3345" w:type="pct"/>
            <w:tcBorders>
              <w:top w:val="outset" w:color="auto" w:sz="6" w:space="0"/>
              <w:left w:val="outset" w:color="auto" w:sz="6" w:space="0"/>
              <w:bottom w:val="outset" w:color="auto" w:sz="6" w:space="0"/>
              <w:right w:val="outset" w:color="auto" w:sz="6" w:space="0"/>
            </w:tcBorders>
            <w:tcMar>
              <w:left w:w="75" w:type="dxa"/>
            </w:tcMar>
            <w:vAlign w:val="center"/>
          </w:tcPr>
          <w:p>
            <w:pPr>
              <w:widowControl/>
              <w:jc w:val="left"/>
              <w:rPr>
                <w:color w:val="000000"/>
                <w:kern w:val="0"/>
                <w:szCs w:val="21"/>
              </w:rPr>
            </w:pPr>
            <w:r>
              <w:rPr>
                <w:color w:val="000000"/>
                <w:kern w:val="0"/>
                <w:szCs w:val="21"/>
              </w:rPr>
              <w:t>满足招标文件前附表重难点要求，应单独成章，可以根据供应商理解另行增加内容。</w:t>
            </w:r>
          </w:p>
        </w:tc>
        <w:tc>
          <w:tcPr>
            <w:tcW w:w="308" w:type="pct"/>
            <w:tcBorders>
              <w:top w:val="outset" w:color="auto" w:sz="6" w:space="0"/>
              <w:left w:val="outset" w:color="auto" w:sz="6" w:space="0"/>
              <w:bottom w:val="outset" w:color="auto" w:sz="6" w:space="0"/>
              <w:right w:val="outset" w:color="auto" w:sz="6" w:space="0"/>
            </w:tcBorders>
            <w:tcMar>
              <w:left w:w="75" w:type="dxa"/>
            </w:tcMar>
            <w:vAlign w:val="center"/>
          </w:tcPr>
          <w:p>
            <w:pPr>
              <w:widowControl/>
              <w:jc w:val="left"/>
              <w:rPr>
                <w:color w:val="000000"/>
                <w:kern w:val="0"/>
                <w:szCs w:val="21"/>
              </w:rPr>
            </w:pPr>
            <w:r>
              <w:rPr>
                <w:color w:val="000000"/>
                <w:szCs w:val="21"/>
              </w:rPr>
              <w:t>否</w:t>
            </w:r>
          </w:p>
        </w:tc>
      </w:tr>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510" w:hRule="atLeast"/>
        </w:trPr>
        <w:tc>
          <w:tcPr>
            <w:tcW w:w="388" w:type="pct"/>
            <w:vMerge w:val="continue"/>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p>
        </w:tc>
        <w:tc>
          <w:tcPr>
            <w:tcW w:w="221" w:type="pct"/>
            <w:vMerge w:val="continue"/>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p>
        </w:tc>
        <w:tc>
          <w:tcPr>
            <w:tcW w:w="738" w:type="pct"/>
            <w:tcBorders>
              <w:top w:val="outset" w:color="auto" w:sz="6" w:space="0"/>
              <w:left w:val="outset" w:color="auto" w:sz="6" w:space="0"/>
              <w:bottom w:val="outset" w:color="auto" w:sz="6" w:space="0"/>
              <w:right w:val="outset" w:color="auto" w:sz="6" w:space="0"/>
            </w:tcBorders>
            <w:tcMar>
              <w:left w:w="75" w:type="dxa"/>
            </w:tcMar>
            <w:vAlign w:val="center"/>
          </w:tcPr>
          <w:p>
            <w:pPr>
              <w:widowControl/>
              <w:jc w:val="center"/>
              <w:rPr>
                <w:color w:val="000000"/>
                <w:kern w:val="0"/>
                <w:szCs w:val="21"/>
              </w:rPr>
            </w:pPr>
            <w:r>
              <w:rPr>
                <w:color w:val="000000"/>
                <w:kern w:val="0"/>
                <w:szCs w:val="21"/>
              </w:rPr>
              <w:t>施工组织</w:t>
            </w:r>
            <w:r>
              <w:rPr>
                <w:rFonts w:hint="eastAsia"/>
                <w:color w:val="000000"/>
                <w:kern w:val="0"/>
                <w:szCs w:val="21"/>
              </w:rPr>
              <w:t xml:space="preserve">    </w:t>
            </w:r>
            <w:r>
              <w:rPr>
                <w:color w:val="000000"/>
                <w:kern w:val="0"/>
                <w:szCs w:val="21"/>
              </w:rPr>
              <w:t>设计整体</w:t>
            </w:r>
          </w:p>
        </w:tc>
        <w:tc>
          <w:tcPr>
            <w:tcW w:w="3345" w:type="pct"/>
            <w:tcBorders>
              <w:top w:val="outset" w:color="auto" w:sz="6" w:space="0"/>
              <w:left w:val="outset" w:color="auto" w:sz="6" w:space="0"/>
              <w:bottom w:val="outset" w:color="auto" w:sz="6" w:space="0"/>
              <w:right w:val="outset" w:color="auto" w:sz="6" w:space="0"/>
            </w:tcBorders>
            <w:tcMar>
              <w:left w:w="75" w:type="dxa"/>
            </w:tcMar>
            <w:vAlign w:val="center"/>
          </w:tcPr>
          <w:p>
            <w:pPr>
              <w:widowControl/>
              <w:jc w:val="left"/>
              <w:rPr>
                <w:color w:val="000000"/>
                <w:kern w:val="0"/>
                <w:szCs w:val="21"/>
              </w:rPr>
            </w:pPr>
            <w:r>
              <w:rPr>
                <w:color w:val="000000"/>
                <w:kern w:val="0"/>
                <w:szCs w:val="21"/>
              </w:rPr>
              <w:t>针对性、完整性符合要求。</w:t>
            </w:r>
          </w:p>
        </w:tc>
        <w:tc>
          <w:tcPr>
            <w:tcW w:w="308" w:type="pct"/>
            <w:tcBorders>
              <w:top w:val="outset" w:color="auto" w:sz="6" w:space="0"/>
              <w:left w:val="outset" w:color="auto" w:sz="6" w:space="0"/>
              <w:bottom w:val="outset" w:color="auto" w:sz="6" w:space="0"/>
              <w:right w:val="outset" w:color="auto" w:sz="6" w:space="0"/>
            </w:tcBorders>
            <w:tcMar>
              <w:left w:w="75" w:type="dxa"/>
            </w:tcMar>
            <w:vAlign w:val="center"/>
          </w:tcPr>
          <w:p>
            <w:pPr>
              <w:widowControl/>
              <w:jc w:val="left"/>
              <w:rPr>
                <w:color w:val="000000"/>
                <w:kern w:val="0"/>
                <w:szCs w:val="21"/>
              </w:rPr>
            </w:pPr>
            <w:r>
              <w:rPr>
                <w:color w:val="000000"/>
                <w:szCs w:val="21"/>
              </w:rPr>
              <w:t>否</w:t>
            </w:r>
          </w:p>
        </w:tc>
      </w:tr>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510" w:hRule="atLeast"/>
        </w:trPr>
        <w:tc>
          <w:tcPr>
            <w:tcW w:w="388" w:type="pct"/>
            <w:vMerge w:val="continue"/>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p>
        </w:tc>
        <w:tc>
          <w:tcPr>
            <w:tcW w:w="221" w:type="pct"/>
            <w:vMerge w:val="continue"/>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p>
        </w:tc>
        <w:tc>
          <w:tcPr>
            <w:tcW w:w="738" w:type="pct"/>
            <w:tcBorders>
              <w:top w:val="outset" w:color="auto" w:sz="6" w:space="0"/>
              <w:left w:val="outset" w:color="auto" w:sz="6" w:space="0"/>
              <w:bottom w:val="outset" w:color="auto" w:sz="6" w:space="0"/>
              <w:right w:val="outset" w:color="auto" w:sz="6" w:space="0"/>
            </w:tcBorders>
            <w:tcMar>
              <w:left w:w="75" w:type="dxa"/>
            </w:tcMar>
            <w:vAlign w:val="center"/>
          </w:tcPr>
          <w:p>
            <w:pPr>
              <w:widowControl/>
              <w:jc w:val="center"/>
              <w:rPr>
                <w:color w:val="000000"/>
                <w:kern w:val="0"/>
                <w:szCs w:val="21"/>
              </w:rPr>
            </w:pPr>
            <w:r>
              <w:rPr>
                <w:color w:val="000000"/>
                <w:kern w:val="0"/>
                <w:szCs w:val="21"/>
              </w:rPr>
              <w:t>其它</w:t>
            </w:r>
          </w:p>
        </w:tc>
        <w:tc>
          <w:tcPr>
            <w:tcW w:w="3345" w:type="pct"/>
            <w:tcBorders>
              <w:top w:val="outset" w:color="auto" w:sz="6" w:space="0"/>
              <w:left w:val="outset" w:color="auto" w:sz="6" w:space="0"/>
              <w:bottom w:val="outset" w:color="auto" w:sz="6" w:space="0"/>
              <w:right w:val="outset" w:color="auto" w:sz="6" w:space="0"/>
            </w:tcBorders>
            <w:tcMar>
              <w:left w:w="75" w:type="dxa"/>
            </w:tcMar>
            <w:vAlign w:val="center"/>
          </w:tcPr>
          <w:p>
            <w:pPr>
              <w:widowControl/>
              <w:jc w:val="left"/>
              <w:rPr>
                <w:color w:val="000000"/>
                <w:kern w:val="0"/>
                <w:szCs w:val="21"/>
              </w:rPr>
            </w:pPr>
          </w:p>
        </w:tc>
        <w:tc>
          <w:tcPr>
            <w:tcW w:w="308" w:type="pct"/>
            <w:tcBorders>
              <w:top w:val="outset" w:color="auto" w:sz="6" w:space="0"/>
              <w:left w:val="outset" w:color="auto" w:sz="6" w:space="0"/>
              <w:bottom w:val="outset" w:color="auto" w:sz="6" w:space="0"/>
              <w:right w:val="outset" w:color="auto" w:sz="6" w:space="0"/>
            </w:tcBorders>
            <w:tcMar>
              <w:left w:w="75" w:type="dxa"/>
            </w:tcMar>
            <w:vAlign w:val="center"/>
          </w:tcPr>
          <w:p>
            <w:pPr>
              <w:widowControl/>
              <w:jc w:val="left"/>
              <w:rPr>
                <w:color w:val="000000"/>
                <w:kern w:val="0"/>
                <w:szCs w:val="21"/>
              </w:rPr>
            </w:pPr>
            <w:r>
              <w:rPr>
                <w:color w:val="000000"/>
                <w:szCs w:val="21"/>
              </w:rPr>
              <w:t>否</w:t>
            </w:r>
          </w:p>
        </w:tc>
      </w:tr>
    </w:tbl>
    <w:p>
      <w:pPr>
        <w:rPr>
          <w:rFonts w:ascii="Calibri" w:hAnsi="Calibri"/>
          <w:color w:val="000000"/>
          <w:szCs w:val="21"/>
        </w:rPr>
      </w:pPr>
      <w:r>
        <w:rPr>
          <w:rFonts w:ascii="Calibri" w:hAnsi="Calibri"/>
          <w:color w:val="000000"/>
          <w:szCs w:val="21"/>
        </w:rPr>
        <w:t xml:space="preserve"> </w:t>
      </w:r>
      <w:r>
        <w:rPr>
          <w:rFonts w:hint="eastAsia" w:ascii="Calibri" w:hAnsi="Calibri"/>
          <w:color w:val="000000"/>
          <w:szCs w:val="21"/>
        </w:rPr>
        <w:t>说明：</w:t>
      </w:r>
    </w:p>
    <w:p>
      <w:pPr>
        <w:spacing w:line="360" w:lineRule="auto"/>
        <w:rPr>
          <w:rFonts w:ascii="Calibri" w:hAnsi="Calibri"/>
          <w:color w:val="000000"/>
          <w:szCs w:val="21"/>
        </w:rPr>
      </w:pPr>
      <w:r>
        <w:rPr>
          <w:rFonts w:hint="eastAsia" w:ascii="Calibri" w:hAnsi="Calibri"/>
          <w:color w:val="000000"/>
          <w:szCs w:val="21"/>
        </w:rPr>
        <w:t>1. 技术标评审采用定性方法。</w:t>
      </w:r>
    </w:p>
    <w:p>
      <w:pPr>
        <w:spacing w:line="360" w:lineRule="auto"/>
        <w:rPr>
          <w:rFonts w:ascii="Calibri" w:hAnsi="Calibri"/>
          <w:color w:val="000000"/>
          <w:szCs w:val="21"/>
        </w:rPr>
      </w:pPr>
      <w:r>
        <w:rPr>
          <w:rFonts w:hint="eastAsia" w:ascii="Calibri" w:hAnsi="Calibri"/>
          <w:color w:val="000000"/>
          <w:szCs w:val="21"/>
        </w:rPr>
        <w:t>2. 评标专家根据评审要求判断每项评审内容是否合格，并在供应商评审空格内用“√”、“×”表示。</w:t>
      </w:r>
    </w:p>
    <w:p>
      <w:pPr>
        <w:spacing w:line="360" w:lineRule="auto"/>
        <w:rPr>
          <w:rFonts w:ascii="Calibri" w:hAnsi="Calibri"/>
          <w:color w:val="000000"/>
          <w:szCs w:val="21"/>
        </w:rPr>
      </w:pPr>
      <w:r>
        <w:rPr>
          <w:rFonts w:hint="eastAsia" w:ascii="Calibri" w:hAnsi="Calibri"/>
          <w:color w:val="000000"/>
          <w:szCs w:val="21"/>
        </w:rPr>
        <w:t>3. 以上选项要求通过必须全部通过，且所有选项必须通过70%及以上，技术标方为通过。</w:t>
      </w:r>
    </w:p>
    <w:p>
      <w:pPr>
        <w:keepNext/>
        <w:keepLines/>
        <w:spacing w:before="260" w:after="260" w:line="415" w:lineRule="auto"/>
        <w:outlineLvl w:val="1"/>
        <w:rPr>
          <w:rFonts w:ascii="Arial" w:hAnsi="Arial" w:eastAsia="黑体"/>
          <w:b/>
          <w:bCs/>
          <w:color w:val="000000"/>
          <w:sz w:val="32"/>
          <w:szCs w:val="32"/>
        </w:rPr>
      </w:pPr>
      <w:bookmarkStart w:id="103" w:name="_Toc439064244"/>
      <w:bookmarkStart w:id="104" w:name="_Toc532910216"/>
      <w:bookmarkStart w:id="105" w:name="_Toc532910495"/>
      <w:r>
        <w:rPr>
          <w:rFonts w:hint="eastAsia" w:ascii="Arial" w:hAnsi="Arial" w:eastAsia="黑体"/>
          <w:b/>
          <w:bCs/>
          <w:color w:val="000000"/>
          <w:sz w:val="32"/>
          <w:szCs w:val="32"/>
        </w:rPr>
        <w:t>1. 评标方法</w:t>
      </w:r>
      <w:bookmarkEnd w:id="103"/>
      <w:bookmarkEnd w:id="104"/>
      <w:bookmarkEnd w:id="105"/>
    </w:p>
    <w:p>
      <w:pPr>
        <w:spacing w:line="400" w:lineRule="exact"/>
        <w:ind w:firstLine="480" w:firstLineChars="200"/>
        <w:rPr>
          <w:rFonts w:ascii="宋体" w:hAnsi="宋体"/>
          <w:color w:val="FF0000"/>
          <w:szCs w:val="22"/>
        </w:rPr>
      </w:pPr>
      <w:bookmarkStart w:id="106" w:name="_Toc439064245"/>
      <w:bookmarkStart w:id="107" w:name="_Toc532910217"/>
      <w:bookmarkStart w:id="108" w:name="_Toc532910496"/>
      <w:r>
        <w:rPr>
          <w:rFonts w:hint="eastAsia" w:ascii="宋体" w:hAnsi="宋体"/>
          <w:color w:val="FF0000"/>
          <w:sz w:val="24"/>
        </w:rPr>
        <w:t>本次评标采用</w:t>
      </w:r>
      <w:r>
        <w:rPr>
          <w:rFonts w:hint="eastAsia" w:ascii="宋体" w:hAnsi="宋体" w:cs="Arial"/>
          <w:b/>
          <w:color w:val="FF0000"/>
          <w:kern w:val="0"/>
          <w:sz w:val="24"/>
        </w:rPr>
        <w:t>多次报价后执行有效最低价合格制评审法且开标当天不宣布中标结果，潜在投标供应商不认可本评审办法可拒绝投标</w:t>
      </w:r>
      <w:r>
        <w:rPr>
          <w:rFonts w:hint="eastAsia" w:ascii="宋体" w:hAnsi="宋体"/>
          <w:color w:val="FF0000"/>
          <w:sz w:val="24"/>
        </w:rPr>
        <w:t>，即评标委员会遵循规定评标原则，对供应商按投标报价从低到高（不高于控制价）依次进行资格审查、商务标评审和技术标评审，评审均通过的即为第一中标候选人。如供应商资格审查、商务标和技术标评审中任一项被判定为未通过评审，再按报价由低到高依次进行递补，按顺序依次评出第一中标候选人、第二中标候选人（如有）。</w:t>
      </w:r>
    </w:p>
    <w:p>
      <w:pPr>
        <w:keepNext/>
        <w:keepLines/>
        <w:spacing w:before="260" w:after="260" w:line="415" w:lineRule="auto"/>
        <w:outlineLvl w:val="1"/>
        <w:rPr>
          <w:rFonts w:ascii="Arial" w:hAnsi="Arial" w:eastAsia="黑体"/>
          <w:b/>
          <w:bCs/>
          <w:color w:val="000000"/>
          <w:sz w:val="32"/>
          <w:szCs w:val="32"/>
        </w:rPr>
      </w:pPr>
      <w:r>
        <w:rPr>
          <w:rFonts w:hint="eastAsia" w:ascii="Arial" w:hAnsi="Arial" w:eastAsia="黑体"/>
          <w:b/>
          <w:bCs/>
          <w:color w:val="000000"/>
          <w:sz w:val="32"/>
          <w:szCs w:val="32"/>
        </w:rPr>
        <w:t>2. 评审标准</w:t>
      </w:r>
      <w:bookmarkEnd w:id="106"/>
      <w:bookmarkEnd w:id="107"/>
      <w:bookmarkEnd w:id="108"/>
    </w:p>
    <w:p>
      <w:pPr>
        <w:spacing w:line="400" w:lineRule="exact"/>
        <w:ind w:firstLine="420" w:firstLineChars="200"/>
        <w:rPr>
          <w:color w:val="000000"/>
        </w:rPr>
      </w:pPr>
      <w:r>
        <w:rPr>
          <w:rFonts w:hint="eastAsia"/>
          <w:color w:val="000000"/>
        </w:rPr>
        <w:t>2.1 资格审查标准：见评标办法前附表。</w:t>
      </w:r>
    </w:p>
    <w:p>
      <w:pPr>
        <w:spacing w:line="400" w:lineRule="exact"/>
        <w:ind w:firstLine="420" w:firstLineChars="200"/>
        <w:rPr>
          <w:color w:val="000000"/>
        </w:rPr>
      </w:pPr>
      <w:r>
        <w:rPr>
          <w:rFonts w:hint="eastAsia"/>
          <w:color w:val="000000"/>
        </w:rPr>
        <w:t>2.2 商务标评审标准：见评标办法前附表。</w:t>
      </w:r>
    </w:p>
    <w:p>
      <w:pPr>
        <w:spacing w:line="400" w:lineRule="exact"/>
        <w:ind w:firstLine="420" w:firstLineChars="200"/>
        <w:rPr>
          <w:color w:val="000000"/>
        </w:rPr>
      </w:pPr>
      <w:r>
        <w:rPr>
          <w:rFonts w:hint="eastAsia"/>
          <w:color w:val="000000"/>
        </w:rPr>
        <w:t>2.3 技术标评审标准：见评标办法前附表。</w:t>
      </w:r>
    </w:p>
    <w:p>
      <w:pPr>
        <w:keepNext/>
        <w:keepLines/>
        <w:spacing w:before="260" w:after="260" w:line="415" w:lineRule="auto"/>
        <w:outlineLvl w:val="1"/>
        <w:rPr>
          <w:rFonts w:ascii="Arial" w:hAnsi="Arial" w:eastAsia="黑体"/>
          <w:b/>
          <w:bCs/>
          <w:color w:val="000000"/>
          <w:sz w:val="32"/>
          <w:szCs w:val="32"/>
        </w:rPr>
      </w:pPr>
      <w:bookmarkStart w:id="109" w:name="_Toc439064246"/>
      <w:bookmarkStart w:id="110" w:name="_Toc532910218"/>
      <w:bookmarkStart w:id="111" w:name="_Toc532910497"/>
      <w:r>
        <w:rPr>
          <w:rFonts w:hint="eastAsia" w:ascii="Arial" w:hAnsi="Arial" w:eastAsia="黑体"/>
          <w:b/>
          <w:bCs/>
          <w:color w:val="000000"/>
          <w:sz w:val="32"/>
          <w:szCs w:val="32"/>
        </w:rPr>
        <w:t>3. 评标程序</w:t>
      </w:r>
      <w:bookmarkEnd w:id="109"/>
      <w:bookmarkEnd w:id="110"/>
      <w:bookmarkEnd w:id="111"/>
    </w:p>
    <w:p>
      <w:pPr>
        <w:keepNext/>
        <w:keepLines/>
        <w:spacing w:before="260" w:after="260" w:line="415" w:lineRule="auto"/>
        <w:outlineLvl w:val="2"/>
        <w:rPr>
          <w:b/>
          <w:bCs/>
          <w:color w:val="000000"/>
          <w:sz w:val="32"/>
          <w:szCs w:val="32"/>
        </w:rPr>
      </w:pPr>
      <w:bookmarkStart w:id="112" w:name="_Toc439064247"/>
      <w:bookmarkStart w:id="113" w:name="_Toc532910219"/>
      <w:bookmarkStart w:id="114" w:name="_Toc532910498"/>
      <w:r>
        <w:rPr>
          <w:rFonts w:hint="eastAsia"/>
          <w:b/>
          <w:bCs/>
          <w:color w:val="000000"/>
          <w:sz w:val="32"/>
          <w:szCs w:val="32"/>
        </w:rPr>
        <w:t>3.1 确定评审范围</w:t>
      </w:r>
      <w:bookmarkEnd w:id="112"/>
      <w:bookmarkEnd w:id="113"/>
      <w:bookmarkEnd w:id="114"/>
      <w:r>
        <w:rPr>
          <w:rFonts w:hint="eastAsia"/>
          <w:b/>
          <w:bCs/>
          <w:color w:val="000000"/>
          <w:sz w:val="32"/>
          <w:szCs w:val="32"/>
        </w:rPr>
        <w:t xml:space="preserve"> </w:t>
      </w:r>
    </w:p>
    <w:p>
      <w:pPr>
        <w:spacing w:line="400" w:lineRule="exact"/>
        <w:ind w:firstLine="420" w:firstLineChars="200"/>
        <w:rPr>
          <w:rFonts w:ascii="宋体" w:hAnsi="宋体"/>
          <w:color w:val="000000"/>
          <w:szCs w:val="22"/>
        </w:rPr>
      </w:pPr>
      <w:r>
        <w:rPr>
          <w:rFonts w:hint="eastAsia" w:ascii="宋体" w:hAnsi="宋体"/>
          <w:color w:val="000000"/>
          <w:szCs w:val="22"/>
        </w:rPr>
        <w:t>对投标报价低于控制价的，按由低到高排序依次进行资格审查、商务标评审和技术标评审，直至选出第一中标候选人、第二中标候选人。遇到相同报价的，由该部分供应商抽签确定排序。</w:t>
      </w:r>
    </w:p>
    <w:p>
      <w:pPr>
        <w:keepNext/>
        <w:keepLines/>
        <w:spacing w:before="260" w:after="260" w:line="415" w:lineRule="auto"/>
        <w:outlineLvl w:val="2"/>
        <w:rPr>
          <w:b/>
          <w:bCs/>
          <w:color w:val="000000"/>
          <w:sz w:val="32"/>
          <w:szCs w:val="32"/>
        </w:rPr>
      </w:pPr>
      <w:bookmarkStart w:id="115" w:name="_Toc439064248"/>
      <w:bookmarkStart w:id="116" w:name="_Toc532910220"/>
      <w:bookmarkStart w:id="117" w:name="_Toc532910499"/>
      <w:r>
        <w:rPr>
          <w:rFonts w:hint="eastAsia"/>
          <w:b/>
          <w:bCs/>
          <w:color w:val="000000"/>
          <w:sz w:val="32"/>
          <w:szCs w:val="32"/>
        </w:rPr>
        <w:t>3.2 资格审查</w:t>
      </w:r>
      <w:bookmarkEnd w:id="115"/>
      <w:bookmarkEnd w:id="116"/>
      <w:bookmarkEnd w:id="117"/>
    </w:p>
    <w:p>
      <w:pPr>
        <w:spacing w:line="400" w:lineRule="exact"/>
        <w:ind w:firstLine="420" w:firstLineChars="200"/>
        <w:rPr>
          <w:rFonts w:ascii="宋体" w:hAnsi="宋体"/>
          <w:color w:val="000000"/>
          <w:szCs w:val="22"/>
        </w:rPr>
      </w:pPr>
      <w:r>
        <w:rPr>
          <w:rFonts w:hint="eastAsia" w:ascii="宋体" w:hAnsi="宋体"/>
          <w:color w:val="000000"/>
          <w:szCs w:val="21"/>
        </w:rPr>
        <w:t>资格审查采用定性方法，符合性评审</w:t>
      </w:r>
      <w:r>
        <w:rPr>
          <w:rFonts w:hint="eastAsia" w:ascii="宋体" w:hAnsi="宋体"/>
          <w:color w:val="000000"/>
          <w:szCs w:val="22"/>
        </w:rPr>
        <w:t>（具体见比选公告）。</w:t>
      </w:r>
    </w:p>
    <w:p>
      <w:pPr>
        <w:spacing w:line="400" w:lineRule="exact"/>
        <w:ind w:firstLine="420" w:firstLineChars="200"/>
        <w:rPr>
          <w:rFonts w:ascii="宋体" w:hAnsi="宋体"/>
          <w:color w:val="000000"/>
          <w:szCs w:val="22"/>
        </w:rPr>
      </w:pPr>
      <w:r>
        <w:rPr>
          <w:rFonts w:hint="eastAsia" w:ascii="宋体" w:hAnsi="宋体"/>
          <w:color w:val="000000"/>
          <w:szCs w:val="22"/>
        </w:rPr>
        <w:t>上述内容均满足的供应商的投标文件方可进行下一步评审。</w:t>
      </w:r>
    </w:p>
    <w:p>
      <w:pPr>
        <w:spacing w:line="400" w:lineRule="exact"/>
        <w:ind w:firstLine="420" w:firstLineChars="200"/>
        <w:rPr>
          <w:rFonts w:ascii="宋体" w:hAnsi="宋体"/>
          <w:color w:val="000000"/>
          <w:szCs w:val="22"/>
        </w:rPr>
      </w:pPr>
      <w:r>
        <w:rPr>
          <w:rFonts w:hint="eastAsia" w:ascii="宋体" w:hAnsi="宋体"/>
          <w:color w:val="000000"/>
          <w:szCs w:val="22"/>
        </w:rPr>
        <w:t>评委会对上述内容进行符合性评审时，如发现投标文件内容与招标文件规定内容存在偏差，应要求供应商澄清、说明或补正。</w:t>
      </w:r>
    </w:p>
    <w:p>
      <w:pPr>
        <w:spacing w:line="400" w:lineRule="exact"/>
        <w:ind w:firstLine="420" w:firstLineChars="200"/>
        <w:rPr>
          <w:rFonts w:ascii="宋体" w:hAnsi="宋体"/>
          <w:color w:val="000000"/>
          <w:szCs w:val="22"/>
        </w:rPr>
      </w:pPr>
      <w:r>
        <w:rPr>
          <w:rFonts w:hint="eastAsia" w:ascii="宋体" w:hAnsi="宋体"/>
          <w:color w:val="000000"/>
        </w:rPr>
        <w:t>资格审查文件有以下情形之一的，资格审查不合格，投标文件为无效标：</w:t>
      </w:r>
    </w:p>
    <w:p>
      <w:pPr>
        <w:spacing w:line="400" w:lineRule="exact"/>
        <w:ind w:firstLine="420" w:firstLineChars="200"/>
        <w:rPr>
          <w:rFonts w:ascii="宋体" w:hAnsi="宋体"/>
          <w:color w:val="000000"/>
          <w:szCs w:val="22"/>
        </w:rPr>
      </w:pPr>
      <w:r>
        <w:rPr>
          <w:rFonts w:hint="eastAsia" w:ascii="宋体" w:hAnsi="宋体"/>
          <w:color w:val="000000"/>
          <w:szCs w:val="22"/>
        </w:rPr>
        <w:t>①企业资质、业绩与招标文件要求不一致或超出年审合格有效期且无证明材料的；</w:t>
      </w:r>
    </w:p>
    <w:p>
      <w:pPr>
        <w:spacing w:line="400" w:lineRule="exact"/>
        <w:ind w:firstLine="420" w:firstLineChars="200"/>
        <w:rPr>
          <w:rFonts w:ascii="宋体" w:hAnsi="宋体"/>
          <w:color w:val="000000"/>
          <w:szCs w:val="22"/>
        </w:rPr>
      </w:pPr>
      <w:r>
        <w:rPr>
          <w:rFonts w:hint="eastAsia" w:ascii="宋体" w:hAnsi="宋体"/>
          <w:color w:val="000000"/>
          <w:szCs w:val="22"/>
        </w:rPr>
        <w:t>②营业执照中企业名称、法定代表人与其它资料不一致或不符合招标文件要求；</w:t>
      </w:r>
    </w:p>
    <w:p>
      <w:pPr>
        <w:spacing w:line="400" w:lineRule="exact"/>
        <w:ind w:firstLine="420" w:firstLineChars="200"/>
        <w:rPr>
          <w:rFonts w:ascii="宋体" w:hAnsi="宋体"/>
          <w:color w:val="000000"/>
          <w:szCs w:val="22"/>
        </w:rPr>
      </w:pPr>
      <w:r>
        <w:rPr>
          <w:rFonts w:hint="eastAsia" w:ascii="宋体" w:hAnsi="宋体"/>
          <w:color w:val="000000"/>
          <w:szCs w:val="22"/>
        </w:rPr>
        <w:t>③未提交安全生产许可证或超出有效期的；</w:t>
      </w:r>
    </w:p>
    <w:p>
      <w:pPr>
        <w:spacing w:line="400" w:lineRule="exact"/>
        <w:ind w:firstLine="420" w:firstLineChars="200"/>
        <w:rPr>
          <w:rFonts w:ascii="宋体" w:hAnsi="宋体"/>
          <w:color w:val="000000"/>
          <w:szCs w:val="22"/>
        </w:rPr>
      </w:pPr>
      <w:r>
        <w:rPr>
          <w:rFonts w:hint="eastAsia" w:ascii="宋体" w:hAnsi="宋体"/>
          <w:color w:val="000000"/>
          <w:szCs w:val="22"/>
        </w:rPr>
        <w:t>④项目经理资格证书、注册单位、业绩与招标文件要求不一致，或法律法规规定不具备担任本项目经理条件的，或未同时提交有效安全生产考核合格B证的，或项目经理</w:t>
      </w:r>
      <w:r>
        <w:rPr>
          <w:snapToGrid w:val="0"/>
          <w:color w:val="000000"/>
          <w:kern w:val="0"/>
          <w:szCs w:val="21"/>
        </w:rPr>
        <w:t>在其他项目上任职</w:t>
      </w:r>
      <w:r>
        <w:rPr>
          <w:rFonts w:hint="eastAsia"/>
          <w:snapToGrid w:val="0"/>
          <w:color w:val="000000"/>
          <w:kern w:val="0"/>
          <w:szCs w:val="21"/>
        </w:rPr>
        <w:t>且</w:t>
      </w:r>
      <w:r>
        <w:rPr>
          <w:snapToGrid w:val="0"/>
          <w:color w:val="000000"/>
          <w:kern w:val="0"/>
          <w:szCs w:val="21"/>
        </w:rPr>
        <w:t>本项目中标后</w:t>
      </w:r>
      <w:r>
        <w:rPr>
          <w:rFonts w:hint="eastAsia"/>
          <w:snapToGrid w:val="0"/>
          <w:color w:val="000000"/>
          <w:kern w:val="0"/>
          <w:szCs w:val="21"/>
        </w:rPr>
        <w:t>不</w:t>
      </w:r>
      <w:r>
        <w:rPr>
          <w:snapToGrid w:val="0"/>
          <w:color w:val="000000"/>
          <w:kern w:val="0"/>
          <w:szCs w:val="21"/>
        </w:rPr>
        <w:t>能够从</w:t>
      </w:r>
      <w:r>
        <w:rPr>
          <w:rFonts w:hint="eastAsia"/>
          <w:snapToGrid w:val="0"/>
          <w:color w:val="000000"/>
          <w:kern w:val="0"/>
          <w:szCs w:val="21"/>
        </w:rPr>
        <w:t>任职</w:t>
      </w:r>
      <w:r>
        <w:rPr>
          <w:snapToGrid w:val="0"/>
          <w:color w:val="000000"/>
          <w:kern w:val="0"/>
          <w:szCs w:val="21"/>
        </w:rPr>
        <w:t>项目撤离</w:t>
      </w:r>
      <w:r>
        <w:rPr>
          <w:rFonts w:hint="eastAsia" w:ascii="宋体" w:hAnsi="宋体"/>
          <w:color w:val="000000"/>
          <w:szCs w:val="22"/>
        </w:rPr>
        <w:t>的；</w:t>
      </w:r>
    </w:p>
    <w:p>
      <w:pPr>
        <w:spacing w:line="400" w:lineRule="exact"/>
        <w:ind w:firstLine="420" w:firstLineChars="200"/>
        <w:rPr>
          <w:rFonts w:ascii="宋体" w:hAnsi="宋体"/>
          <w:szCs w:val="22"/>
        </w:rPr>
      </w:pPr>
      <w:r>
        <w:rPr>
          <w:rFonts w:hint="eastAsia" w:ascii="宋体" w:hAnsi="宋体"/>
          <w:szCs w:val="22"/>
        </w:rPr>
        <w:t>⑤未按招标文件要求提交投标保证金的；</w:t>
      </w:r>
    </w:p>
    <w:p>
      <w:pPr>
        <w:spacing w:line="400" w:lineRule="exact"/>
        <w:ind w:firstLine="420" w:firstLineChars="200"/>
        <w:rPr>
          <w:rFonts w:ascii="宋体" w:hAnsi="宋体"/>
          <w:color w:val="000000"/>
          <w:szCs w:val="22"/>
        </w:rPr>
      </w:pPr>
      <w:r>
        <w:rPr>
          <w:rFonts w:hint="eastAsia" w:ascii="宋体" w:hAnsi="宋体"/>
          <w:color w:val="000000"/>
          <w:szCs w:val="22"/>
        </w:rPr>
        <w:t>⑥投标文件未按要求盖章或签字或签章的；</w:t>
      </w:r>
    </w:p>
    <w:p>
      <w:pPr>
        <w:spacing w:line="400" w:lineRule="exact"/>
        <w:ind w:firstLine="420" w:firstLineChars="200"/>
        <w:rPr>
          <w:rFonts w:ascii="宋体" w:hAnsi="宋体"/>
          <w:color w:val="000000"/>
          <w:szCs w:val="22"/>
        </w:rPr>
      </w:pPr>
      <w:r>
        <w:rPr>
          <w:rFonts w:hint="eastAsia" w:ascii="宋体" w:hAnsi="宋体"/>
          <w:color w:val="000000"/>
          <w:szCs w:val="22"/>
        </w:rPr>
        <w:t>⑦招标文件或法律法规规定的其它情形。</w:t>
      </w:r>
    </w:p>
    <w:p>
      <w:pPr>
        <w:keepNext/>
        <w:keepLines/>
        <w:spacing w:before="260" w:after="260" w:line="415" w:lineRule="auto"/>
        <w:outlineLvl w:val="2"/>
        <w:rPr>
          <w:b/>
          <w:bCs/>
          <w:color w:val="000000"/>
          <w:sz w:val="32"/>
          <w:szCs w:val="32"/>
        </w:rPr>
      </w:pPr>
      <w:bookmarkStart w:id="118" w:name="_Toc439064249"/>
      <w:bookmarkStart w:id="119" w:name="_Toc532910221"/>
      <w:bookmarkStart w:id="120" w:name="_Toc532910500"/>
      <w:r>
        <w:rPr>
          <w:rFonts w:hint="eastAsia"/>
          <w:b/>
          <w:bCs/>
          <w:color w:val="000000"/>
          <w:sz w:val="32"/>
          <w:szCs w:val="32"/>
        </w:rPr>
        <w:t>3.3 商务标评审</w:t>
      </w:r>
      <w:bookmarkEnd w:id="118"/>
      <w:bookmarkEnd w:id="119"/>
      <w:bookmarkEnd w:id="120"/>
    </w:p>
    <w:p>
      <w:pPr>
        <w:spacing w:line="360" w:lineRule="auto"/>
        <w:ind w:firstLine="420" w:firstLineChars="200"/>
        <w:rPr>
          <w:rFonts w:ascii="宋体" w:hAnsi="宋体"/>
          <w:color w:val="000000"/>
          <w:szCs w:val="21"/>
        </w:rPr>
      </w:pPr>
      <w:r>
        <w:rPr>
          <w:rFonts w:hint="eastAsia" w:ascii="宋体" w:hAnsi="宋体"/>
          <w:color w:val="000000"/>
          <w:szCs w:val="21"/>
        </w:rPr>
        <w:t>对于投标报价高于或等于控制价的，作无效标判定。</w:t>
      </w:r>
    </w:p>
    <w:p>
      <w:pPr>
        <w:spacing w:line="400" w:lineRule="exact"/>
        <w:ind w:firstLine="420" w:firstLineChars="200"/>
        <w:rPr>
          <w:rFonts w:ascii="宋体" w:hAnsi="宋体"/>
          <w:color w:val="000000"/>
          <w:szCs w:val="21"/>
        </w:rPr>
      </w:pPr>
      <w:r>
        <w:rPr>
          <w:rFonts w:hint="eastAsia" w:ascii="宋体" w:hAnsi="宋体"/>
          <w:color w:val="000000"/>
          <w:szCs w:val="21"/>
        </w:rPr>
        <w:t>对投标报价按由低到高排序依次进行资格审查、商务标和技术标评审，直至选出第一中标候选人和</w:t>
      </w:r>
      <w:r>
        <w:rPr>
          <w:rFonts w:hint="eastAsia" w:ascii="宋体" w:hAnsi="宋体"/>
          <w:color w:val="000000"/>
          <w:szCs w:val="22"/>
        </w:rPr>
        <w:t>第二中标候选人</w:t>
      </w:r>
      <w:r>
        <w:rPr>
          <w:rFonts w:hint="eastAsia" w:ascii="宋体" w:hAnsi="宋体"/>
          <w:color w:val="000000"/>
          <w:szCs w:val="21"/>
        </w:rPr>
        <w:t>。遇到相同报价的，由该部分供应商抽签确定排序。</w:t>
      </w:r>
    </w:p>
    <w:p>
      <w:pPr>
        <w:spacing w:line="360" w:lineRule="auto"/>
        <w:ind w:firstLine="352" w:firstLineChars="168"/>
        <w:rPr>
          <w:rFonts w:ascii="宋体" w:hAnsi="Courier New" w:cs="Courier New"/>
          <w:color w:val="000000"/>
          <w:szCs w:val="21"/>
        </w:rPr>
      </w:pPr>
      <w:r>
        <w:rPr>
          <w:rFonts w:hint="eastAsia" w:ascii="宋体" w:hAnsi="Courier New" w:cs="Courier New"/>
          <w:color w:val="000000"/>
          <w:szCs w:val="21"/>
        </w:rPr>
        <w:t>3.3.1 商务标报价初步评审</w:t>
      </w:r>
    </w:p>
    <w:p>
      <w:pPr>
        <w:spacing w:line="360" w:lineRule="auto"/>
        <w:ind w:firstLine="352" w:firstLineChars="168"/>
        <w:rPr>
          <w:rFonts w:ascii="宋体" w:hAnsi="宋体"/>
          <w:color w:val="000000"/>
        </w:rPr>
      </w:pPr>
      <w:r>
        <w:rPr>
          <w:rFonts w:hint="eastAsia" w:ascii="宋体" w:hAnsi="宋体"/>
          <w:color w:val="000000"/>
        </w:rPr>
        <w:t>A、清标</w:t>
      </w:r>
    </w:p>
    <w:p>
      <w:pPr>
        <w:spacing w:line="360" w:lineRule="auto"/>
        <w:ind w:firstLine="352" w:firstLineChars="168"/>
        <w:rPr>
          <w:rFonts w:ascii="宋体" w:hAnsi="宋体"/>
          <w:color w:val="000000"/>
        </w:rPr>
      </w:pPr>
      <w:r>
        <w:rPr>
          <w:rFonts w:hint="eastAsia" w:ascii="宋体" w:hAnsi="宋体"/>
          <w:color w:val="000000"/>
        </w:rPr>
        <w:t>⑴清标是指供应商的工程量清单投标报价采用核对、比较、筛选等方法，对基础性数据进行分析和整理。其目的是找出投标文件中可能存在疑义或者显著异常的数据，为评审中的质疑工作提供基础。</w:t>
      </w:r>
    </w:p>
    <w:p>
      <w:pPr>
        <w:spacing w:line="360" w:lineRule="auto"/>
        <w:ind w:firstLine="352" w:firstLineChars="168"/>
        <w:rPr>
          <w:rFonts w:ascii="宋体" w:hAnsi="宋体"/>
          <w:color w:val="000000"/>
        </w:rPr>
      </w:pPr>
      <w:r>
        <w:rPr>
          <w:rFonts w:hint="eastAsia" w:ascii="宋体" w:hAnsi="宋体"/>
          <w:color w:val="000000"/>
        </w:rPr>
        <w:t>⑵清标工作可以使用计算机评标系统辅助评标委员会完成。</w:t>
      </w:r>
    </w:p>
    <w:p>
      <w:pPr>
        <w:spacing w:line="360" w:lineRule="auto"/>
        <w:ind w:firstLine="352" w:firstLineChars="168"/>
        <w:rPr>
          <w:rFonts w:ascii="宋体" w:hAnsi="宋体"/>
          <w:color w:val="000000"/>
        </w:rPr>
      </w:pPr>
      <w:r>
        <w:rPr>
          <w:rFonts w:hint="eastAsia" w:ascii="宋体" w:hAnsi="宋体"/>
          <w:color w:val="000000"/>
        </w:rPr>
        <w:t>⑶清标的内容和步骤：</w:t>
      </w:r>
    </w:p>
    <w:p>
      <w:pPr>
        <w:spacing w:line="400" w:lineRule="exact"/>
        <w:ind w:left="426"/>
        <w:rPr>
          <w:rFonts w:ascii="宋体" w:hAnsi="宋体"/>
          <w:color w:val="000000"/>
          <w:szCs w:val="22"/>
        </w:rPr>
      </w:pPr>
      <w:r>
        <w:rPr>
          <w:rFonts w:hint="eastAsia" w:ascii="宋体" w:hAnsi="宋体"/>
          <w:color w:val="000000"/>
          <w:szCs w:val="22"/>
        </w:rPr>
        <w:t>①投标文件在符合性、响应性等方面存在的偏差。</w:t>
      </w:r>
    </w:p>
    <w:p>
      <w:pPr>
        <w:spacing w:line="400" w:lineRule="exact"/>
        <w:ind w:firstLine="420" w:firstLineChars="200"/>
        <w:rPr>
          <w:rFonts w:ascii="宋体" w:hAnsi="宋体"/>
          <w:color w:val="000000"/>
        </w:rPr>
      </w:pPr>
      <w:r>
        <w:rPr>
          <w:rFonts w:hint="eastAsia" w:ascii="宋体" w:hAnsi="宋体"/>
          <w:color w:val="000000"/>
          <w:szCs w:val="22"/>
        </w:rPr>
        <w:t>②投标文件存在的算术</w:t>
      </w:r>
      <w:r>
        <w:rPr>
          <w:rFonts w:hint="eastAsia" w:ascii="宋体" w:hAnsi="宋体"/>
          <w:color w:val="000000"/>
        </w:rPr>
        <w:t>计算错误和修正结果。</w:t>
      </w:r>
    </w:p>
    <w:p>
      <w:pPr>
        <w:spacing w:line="360" w:lineRule="auto"/>
        <w:ind w:firstLine="352" w:firstLineChars="168"/>
        <w:rPr>
          <w:rFonts w:ascii="宋体" w:hAnsi="宋体"/>
          <w:color w:val="000000"/>
        </w:rPr>
      </w:pPr>
      <w:r>
        <w:rPr>
          <w:rFonts w:hint="eastAsia" w:ascii="宋体" w:hAnsi="宋体"/>
          <w:color w:val="000000"/>
        </w:rPr>
        <w:t>③在列出的所有偏差中，属于重大偏差的情形和相关依据；在列出的所有偏差中，属于细微偏差的情形。</w:t>
      </w:r>
    </w:p>
    <w:p>
      <w:pPr>
        <w:spacing w:line="360" w:lineRule="auto"/>
        <w:ind w:firstLine="352" w:firstLineChars="168"/>
        <w:rPr>
          <w:rFonts w:ascii="宋体" w:hAnsi="宋体"/>
          <w:color w:val="000000"/>
        </w:rPr>
      </w:pPr>
      <w:r>
        <w:rPr>
          <w:rFonts w:hint="eastAsia" w:ascii="宋体" w:hAnsi="宋体"/>
          <w:color w:val="000000"/>
        </w:rPr>
        <w:t>B、细微偏差和修正评审</w:t>
      </w:r>
    </w:p>
    <w:p>
      <w:pPr>
        <w:spacing w:line="360" w:lineRule="auto"/>
        <w:ind w:firstLine="352" w:firstLineChars="168"/>
        <w:rPr>
          <w:rFonts w:ascii="宋体" w:hAnsi="宋体"/>
          <w:color w:val="000000"/>
        </w:rPr>
      </w:pPr>
      <w:r>
        <w:rPr>
          <w:rFonts w:hint="eastAsia" w:ascii="宋体" w:hAnsi="宋体"/>
          <w:color w:val="000000"/>
        </w:rPr>
        <w:t>评标委员会审查投标文件，审核并确认清标结果，包括工程投标报价的校核、审查全部数据计算的正确性、分析各种费用构成的合理性和正确性等内容，看其是否有计算或表达上的错误，投标报价有算术错误的，评标委员会按以下原则对投标报价进行修正。</w:t>
      </w:r>
    </w:p>
    <w:p>
      <w:pPr>
        <w:spacing w:line="360" w:lineRule="auto"/>
        <w:ind w:firstLine="352" w:firstLineChars="168"/>
        <w:rPr>
          <w:rFonts w:ascii="宋体" w:hAnsi="宋体"/>
          <w:color w:val="000000"/>
        </w:rPr>
      </w:pPr>
      <w:r>
        <w:rPr>
          <w:rFonts w:hint="eastAsia" w:ascii="宋体" w:hAnsi="宋体"/>
          <w:color w:val="000000"/>
        </w:rPr>
        <w:t>（1）投标文件中填报的工程量清单报价书中的分部分项工程量清单项目名称、计量单位及工程量与招标人或招标代理机构提供的工程量清单中非实质性内容不一致时，以招标人或招标代理机构提供的内容为准。</w:t>
      </w:r>
    </w:p>
    <w:p>
      <w:pPr>
        <w:spacing w:line="360" w:lineRule="auto"/>
        <w:ind w:firstLine="352" w:firstLineChars="168"/>
        <w:rPr>
          <w:rFonts w:ascii="宋体" w:hAnsi="宋体"/>
          <w:color w:val="000000"/>
        </w:rPr>
      </w:pPr>
      <w:r>
        <w:rPr>
          <w:rFonts w:hint="eastAsia" w:ascii="宋体" w:hAnsi="宋体"/>
          <w:color w:val="000000"/>
        </w:rPr>
        <w:t>（2）投标文件中填报的投标报价、投标工期、工程质量标准前后不一致时，以投标函填报的为准。</w:t>
      </w:r>
    </w:p>
    <w:p>
      <w:pPr>
        <w:spacing w:line="360" w:lineRule="auto"/>
        <w:ind w:firstLine="352" w:firstLineChars="168"/>
        <w:rPr>
          <w:rFonts w:ascii="宋体" w:hAnsi="宋体"/>
          <w:color w:val="000000"/>
        </w:rPr>
      </w:pPr>
      <w:r>
        <w:rPr>
          <w:rFonts w:hint="eastAsia" w:ascii="宋体" w:hAnsi="宋体"/>
          <w:color w:val="000000"/>
        </w:rPr>
        <w:t>（3）供应商填报的材料和设备品牌（商标）、单位、规格型号、产地、技术参数(标准)等与招标文件要求不一致的，以招标文件要求为准进行澄清修正，但所报的单价不变。</w:t>
      </w:r>
    </w:p>
    <w:p>
      <w:pPr>
        <w:spacing w:line="360" w:lineRule="auto"/>
        <w:ind w:firstLine="352" w:firstLineChars="168"/>
        <w:rPr>
          <w:rFonts w:ascii="宋体" w:hAnsi="宋体"/>
          <w:color w:val="000000"/>
        </w:rPr>
      </w:pPr>
      <w:r>
        <w:rPr>
          <w:rFonts w:hint="eastAsia" w:ascii="宋体" w:hAnsi="宋体"/>
          <w:color w:val="000000"/>
        </w:rPr>
        <w:t>（4）工程量清单报价表中，出现综合单价金额和工程量的乘积与合价金额不一致的，以标出的综合单价金额为准，并修改合价金额。但综合单价金额小数点有明显错误的，以标出的合价金额为准，并修改综合单价金额。投标函大写金额与小写金额不一致的，以大写金额为准。</w:t>
      </w:r>
    </w:p>
    <w:p>
      <w:pPr>
        <w:spacing w:line="360" w:lineRule="auto"/>
        <w:ind w:firstLine="352" w:firstLineChars="168"/>
        <w:rPr>
          <w:rFonts w:ascii="宋体" w:hAnsi="宋体"/>
          <w:color w:val="000000"/>
        </w:rPr>
      </w:pPr>
      <w:r>
        <w:rPr>
          <w:rFonts w:hint="eastAsia" w:ascii="宋体" w:hAnsi="宋体"/>
          <w:color w:val="000000"/>
        </w:rPr>
        <w:t>（5）工程量清单报价表中综合单价与工程量清单项目综合单价分析表相对应综合单价不一致时，以工程量清单项目综合单价分析表中标出的综合单价为准。</w:t>
      </w:r>
    </w:p>
    <w:p>
      <w:pPr>
        <w:spacing w:line="360" w:lineRule="auto"/>
        <w:ind w:firstLine="352" w:firstLineChars="168"/>
        <w:rPr>
          <w:rFonts w:ascii="宋体" w:hAnsi="宋体"/>
          <w:color w:val="000000"/>
        </w:rPr>
      </w:pPr>
      <w:r>
        <w:rPr>
          <w:rFonts w:hint="eastAsia" w:ascii="宋体" w:hAnsi="宋体"/>
          <w:color w:val="000000"/>
        </w:rPr>
        <w:t>若投标文件出现细微偏差，供应商应按上述修正原则进行修正，供应商须签章确认。</w:t>
      </w:r>
    </w:p>
    <w:p>
      <w:pPr>
        <w:spacing w:line="360" w:lineRule="auto"/>
        <w:ind w:firstLine="352" w:firstLineChars="168"/>
        <w:rPr>
          <w:rFonts w:ascii="宋体" w:hAnsi="宋体"/>
          <w:color w:val="000000"/>
        </w:rPr>
      </w:pPr>
      <w:r>
        <w:rPr>
          <w:rFonts w:hint="eastAsia" w:ascii="宋体" w:hAnsi="宋体"/>
          <w:color w:val="000000"/>
        </w:rPr>
        <w:t>C、重大偏差的认定，投标文件有下列情形之一的，属于重大偏差，由评标委员会评审后按无效标处理：</w:t>
      </w:r>
    </w:p>
    <w:p>
      <w:pPr>
        <w:spacing w:line="360" w:lineRule="auto"/>
        <w:ind w:firstLine="352" w:firstLineChars="168"/>
        <w:rPr>
          <w:rFonts w:ascii="Courier New" w:hAnsi="宋体"/>
          <w:color w:val="000000"/>
          <w:szCs w:val="21"/>
        </w:rPr>
      </w:pPr>
      <w:r>
        <w:rPr>
          <w:rFonts w:hint="eastAsia" w:ascii="Courier New" w:hAnsi="宋体"/>
          <w:color w:val="000000"/>
          <w:szCs w:val="21"/>
        </w:rPr>
        <w:t>(1)清标结果显示不同供应商的投标文件异常一致或者投标报价呈规律性差异等招投标相关法律法规明确规定为串通投标或弄虚作假或有其他违法行为的；</w:t>
      </w:r>
    </w:p>
    <w:p>
      <w:pPr>
        <w:spacing w:line="360" w:lineRule="auto"/>
        <w:ind w:firstLine="352" w:firstLineChars="168"/>
        <w:rPr>
          <w:rFonts w:ascii="Courier New" w:hAnsi="宋体"/>
          <w:color w:val="000000"/>
          <w:szCs w:val="21"/>
        </w:rPr>
      </w:pPr>
      <w:r>
        <w:rPr>
          <w:rFonts w:hint="eastAsia" w:ascii="Courier New" w:hAnsi="宋体"/>
          <w:color w:val="000000"/>
          <w:szCs w:val="21"/>
        </w:rPr>
        <w:t>(2)未按第八章投标文件格式在规定部位盖章或签章或签字的；未按规定的格式填写，实质性内容不全或关键字迹模糊、无法辨认的；</w:t>
      </w:r>
    </w:p>
    <w:p>
      <w:pPr>
        <w:spacing w:line="360" w:lineRule="auto"/>
        <w:ind w:firstLine="352" w:firstLineChars="168"/>
        <w:rPr>
          <w:rFonts w:ascii="Courier New" w:hAnsi="宋体"/>
          <w:color w:val="000000"/>
          <w:szCs w:val="21"/>
        </w:rPr>
      </w:pPr>
      <w:r>
        <w:rPr>
          <w:rFonts w:hint="eastAsia" w:ascii="Courier New" w:hAnsi="宋体"/>
          <w:color w:val="000000"/>
          <w:szCs w:val="21"/>
        </w:rPr>
        <w:t>(3)供应商递交两份或多份内容不同的投标文件，或在一份投标文件中对同一招标项目报有两个或多个报价，且未声明哪一个有效的。按招标文件规定提交备选投标方案的除外；</w:t>
      </w:r>
    </w:p>
    <w:p>
      <w:pPr>
        <w:spacing w:line="360" w:lineRule="auto"/>
        <w:ind w:firstLine="352" w:firstLineChars="168"/>
        <w:rPr>
          <w:rFonts w:ascii="Courier New" w:hAnsi="宋体"/>
          <w:color w:val="000000"/>
          <w:szCs w:val="21"/>
        </w:rPr>
      </w:pPr>
      <w:r>
        <w:rPr>
          <w:rFonts w:hint="eastAsia" w:ascii="Courier New" w:hAnsi="宋体"/>
          <w:color w:val="000000"/>
          <w:szCs w:val="21"/>
        </w:rPr>
        <w:t>(4)投标文件不符合招标文件规定的报价、工期、质量标准或其它实质性要求；</w:t>
      </w:r>
    </w:p>
    <w:p>
      <w:pPr>
        <w:spacing w:line="360" w:lineRule="auto"/>
        <w:ind w:firstLine="352" w:firstLineChars="168"/>
        <w:rPr>
          <w:rFonts w:ascii="Courier New" w:hAnsi="宋体"/>
          <w:color w:val="000000"/>
          <w:szCs w:val="21"/>
        </w:rPr>
      </w:pPr>
      <w:r>
        <w:rPr>
          <w:rFonts w:hint="eastAsia" w:ascii="Courier New" w:hAnsi="宋体"/>
          <w:color w:val="000000"/>
          <w:szCs w:val="21"/>
        </w:rPr>
        <w:t>(5)投标文件中存在招标人不能接受的其它实质性条件或提供虚假文件；</w:t>
      </w:r>
    </w:p>
    <w:p>
      <w:pPr>
        <w:spacing w:line="360" w:lineRule="auto"/>
        <w:ind w:firstLine="352" w:firstLineChars="168"/>
        <w:rPr>
          <w:rFonts w:ascii="Courier New" w:hAnsi="宋体"/>
          <w:color w:val="000000"/>
          <w:szCs w:val="21"/>
        </w:rPr>
      </w:pPr>
      <w:r>
        <w:rPr>
          <w:rFonts w:hint="eastAsia" w:ascii="Courier New" w:hAnsi="宋体"/>
          <w:color w:val="000000"/>
          <w:szCs w:val="21"/>
        </w:rPr>
        <w:t>(6)电子清单计价文件无法读取或不符合规定格式的；</w:t>
      </w:r>
    </w:p>
    <w:p>
      <w:pPr>
        <w:spacing w:line="360" w:lineRule="auto"/>
        <w:ind w:firstLine="352" w:firstLineChars="168"/>
        <w:rPr>
          <w:rFonts w:ascii="Courier New" w:hAnsi="宋体"/>
          <w:color w:val="000000"/>
          <w:szCs w:val="21"/>
        </w:rPr>
      </w:pPr>
      <w:r>
        <w:rPr>
          <w:rFonts w:hint="eastAsia" w:ascii="Courier New" w:hAnsi="宋体"/>
          <w:color w:val="000000"/>
          <w:szCs w:val="21"/>
        </w:rPr>
        <w:t>(7)投标文件中的其它重大偏差（包括缺项，漏项）：</w:t>
      </w:r>
    </w:p>
    <w:p>
      <w:pPr>
        <w:spacing w:line="360" w:lineRule="auto"/>
        <w:ind w:firstLine="352" w:firstLineChars="168"/>
        <w:rPr>
          <w:rFonts w:ascii="Courier New" w:hAnsi="宋体"/>
          <w:color w:val="000000"/>
          <w:szCs w:val="21"/>
        </w:rPr>
      </w:pPr>
      <w:r>
        <w:rPr>
          <w:rFonts w:hint="eastAsia" w:ascii="Courier New" w:hAnsi="宋体"/>
          <w:color w:val="000000"/>
          <w:szCs w:val="21"/>
        </w:rPr>
        <w:t>①当投标文件中填报的工程量清单报价书中的分部分项、工程项目名称、内容、计量单位或工程量与招标人提供的工程量清单实质性不一致，以致影响评标结果的；</w:t>
      </w:r>
    </w:p>
    <w:p>
      <w:pPr>
        <w:widowControl/>
        <w:spacing w:line="360" w:lineRule="auto"/>
        <w:ind w:firstLine="316" w:firstLineChars="150"/>
        <w:jc w:val="left"/>
        <w:rPr>
          <w:rFonts w:ascii="宋体" w:hAnsi="宋体" w:cs="宋体"/>
          <w:b/>
          <w:color w:val="000000"/>
          <w:kern w:val="0"/>
          <w:szCs w:val="21"/>
        </w:rPr>
      </w:pPr>
      <w:r>
        <w:rPr>
          <w:rFonts w:hint="eastAsia" w:ascii="宋体" w:hAnsi="宋体"/>
          <w:b/>
          <w:color w:val="000000"/>
          <w:szCs w:val="21"/>
        </w:rPr>
        <w:t>②</w:t>
      </w:r>
      <w:r>
        <w:rPr>
          <w:rFonts w:hint="eastAsia" w:ascii="宋体" w:hAnsi="宋体" w:cs="宋体"/>
          <w:b/>
          <w:color w:val="000000"/>
          <w:kern w:val="0"/>
          <w:szCs w:val="21"/>
        </w:rPr>
        <w:t>不可竞争费用中有其中一项降低标准进行竞标的；</w:t>
      </w:r>
    </w:p>
    <w:p>
      <w:pPr>
        <w:spacing w:line="360" w:lineRule="auto"/>
        <w:ind w:firstLine="352" w:firstLineChars="168"/>
        <w:rPr>
          <w:rFonts w:ascii="Courier New" w:hAnsi="宋体"/>
          <w:color w:val="000000"/>
          <w:szCs w:val="21"/>
        </w:rPr>
      </w:pPr>
      <w:r>
        <w:rPr>
          <w:rFonts w:hint="eastAsia" w:ascii="Courier New" w:hAnsi="宋体"/>
          <w:color w:val="000000"/>
          <w:szCs w:val="21"/>
        </w:rPr>
        <w:t>③供应商工费工日单价低于招标文件规定的；</w:t>
      </w:r>
    </w:p>
    <w:p>
      <w:pPr>
        <w:spacing w:line="360" w:lineRule="auto"/>
        <w:ind w:firstLine="352" w:firstLineChars="168"/>
        <w:rPr>
          <w:rFonts w:ascii="Courier New" w:hAnsi="宋体"/>
          <w:color w:val="000000"/>
          <w:szCs w:val="21"/>
        </w:rPr>
      </w:pPr>
      <w:r>
        <w:rPr>
          <w:rFonts w:hint="eastAsia" w:ascii="Courier New" w:hAnsi="宋体"/>
          <w:color w:val="000000"/>
          <w:szCs w:val="21"/>
        </w:rPr>
        <w:t>④投标报价高于或等于控制价的；</w:t>
      </w:r>
    </w:p>
    <w:p>
      <w:pPr>
        <w:spacing w:line="360" w:lineRule="auto"/>
        <w:ind w:firstLine="352" w:firstLineChars="168"/>
        <w:rPr>
          <w:rFonts w:ascii="Courier New" w:hAnsi="宋体"/>
          <w:color w:val="000000"/>
          <w:szCs w:val="21"/>
        </w:rPr>
      </w:pPr>
      <w:r>
        <w:rPr>
          <w:rFonts w:hint="eastAsia" w:ascii="Courier New" w:hAnsi="宋体"/>
          <w:color w:val="000000"/>
          <w:szCs w:val="21"/>
        </w:rPr>
        <w:t>⑤因供应商原因造成投标报价及其综合单价遗漏的工程项目、工程内容、工程数量、费用或计算错误等绝对值累计总额（高估冒算、多报费用不得抵消缺漏费用）占投标报价3%（含）以上者或商务标修正偏差后影响供应商排序的。凡招标文件要求或者工程造价组成应计算的费用而供应商未报，且投标文件未阐明充分理由，并不能提供足够证据者，均视为缺漏项目或费用；</w:t>
      </w:r>
    </w:p>
    <w:p>
      <w:pPr>
        <w:spacing w:line="360" w:lineRule="auto"/>
        <w:ind w:firstLine="352" w:firstLineChars="168"/>
        <w:rPr>
          <w:rFonts w:ascii="Courier New" w:hAnsi="宋体"/>
          <w:color w:val="000000"/>
          <w:szCs w:val="21"/>
        </w:rPr>
      </w:pPr>
      <w:r>
        <w:rPr>
          <w:rFonts w:hint="eastAsia" w:ascii="Courier New" w:hAnsi="宋体"/>
          <w:color w:val="000000"/>
          <w:szCs w:val="21"/>
        </w:rPr>
        <w:t>⑥供应商拒不按照要求对投标文件进行澄清、说明、补正的，或评标委员根据招标文件的规定对投标文件的计算错误进行修正后，供应商不接受修正后的投标报价的；</w:t>
      </w:r>
    </w:p>
    <w:p>
      <w:pPr>
        <w:spacing w:line="360" w:lineRule="auto"/>
        <w:ind w:firstLine="352" w:firstLineChars="168"/>
        <w:rPr>
          <w:rFonts w:ascii="Courier New" w:hAnsi="宋体"/>
          <w:color w:val="000000"/>
          <w:szCs w:val="21"/>
        </w:rPr>
      </w:pPr>
      <w:r>
        <w:rPr>
          <w:rFonts w:hint="eastAsia" w:ascii="Courier New" w:hAnsi="宋体"/>
          <w:color w:val="000000"/>
          <w:szCs w:val="21"/>
        </w:rPr>
        <w:t>⑦投标报价中更改暂列金额或暂估价的；</w:t>
      </w:r>
    </w:p>
    <w:p>
      <w:pPr>
        <w:spacing w:line="360" w:lineRule="auto"/>
        <w:ind w:firstLine="352" w:firstLineChars="168"/>
        <w:rPr>
          <w:rFonts w:ascii="Courier New" w:hAnsi="宋体"/>
          <w:color w:val="000000"/>
          <w:szCs w:val="21"/>
        </w:rPr>
      </w:pPr>
      <w:r>
        <w:rPr>
          <w:rFonts w:hint="eastAsia" w:ascii="Courier New" w:hAnsi="宋体"/>
          <w:color w:val="000000"/>
          <w:szCs w:val="21"/>
        </w:rPr>
        <w:t>⑧供应商商务标中不应出现负值，却有负值出现的；</w:t>
      </w:r>
    </w:p>
    <w:p>
      <w:pPr>
        <w:spacing w:line="360" w:lineRule="auto"/>
        <w:ind w:firstLine="315" w:firstLineChars="150"/>
        <w:rPr>
          <w:rFonts w:ascii="Courier New" w:hAnsi="宋体"/>
          <w:b/>
          <w:color w:val="000000"/>
          <w:szCs w:val="21"/>
        </w:rPr>
      </w:pPr>
      <w:r>
        <w:rPr>
          <w:rFonts w:hint="eastAsia" w:ascii="Courier New" w:hAnsi="宋体"/>
          <w:color w:val="000000"/>
          <w:szCs w:val="21"/>
        </w:rPr>
        <w:t>⑨减少实体材料消耗量指标且不符合计量计价规范或实际情况的</w:t>
      </w:r>
      <w:r>
        <w:rPr>
          <w:rFonts w:hint="eastAsia" w:ascii="Courier New" w:hAnsi="宋体"/>
          <w:color w:val="000000"/>
          <w:sz w:val="24"/>
        </w:rPr>
        <w:t>；</w:t>
      </w:r>
    </w:p>
    <w:p>
      <w:pPr>
        <w:spacing w:line="360" w:lineRule="auto"/>
        <w:ind w:firstLine="352" w:firstLineChars="168"/>
        <w:rPr>
          <w:rFonts w:ascii="Courier New" w:hAnsi="宋体"/>
          <w:color w:val="000000"/>
          <w:szCs w:val="21"/>
        </w:rPr>
      </w:pPr>
      <w:r>
        <w:rPr>
          <w:rFonts w:hint="eastAsia" w:ascii="Courier New" w:hAnsi="宋体"/>
          <w:color w:val="000000"/>
          <w:szCs w:val="21"/>
        </w:rPr>
        <w:t>⑩项目评审或多标段项目标段评审中，多名供应商投标报价规律性集中出现在高价区域，明显与近期类似项目报价情况不一致，以致影响正常评审的，评委会应确定项目投标报价明显缺乏竞争性，宣布流标，同时将异常报价提交监管部门调查；</w:t>
      </w:r>
    </w:p>
    <w:p>
      <w:pPr>
        <w:spacing w:line="360" w:lineRule="auto"/>
        <w:ind w:firstLine="352" w:firstLineChars="168"/>
        <w:rPr>
          <w:rFonts w:ascii="Courier New" w:hAnsi="宋体"/>
          <w:color w:val="000000"/>
          <w:szCs w:val="21"/>
        </w:rPr>
      </w:pPr>
      <w:r>
        <w:rPr>
          <w:rFonts w:ascii="Cambria Math" w:hAnsi="Cambria Math" w:cs="Cambria Math"/>
          <w:color w:val="000000"/>
          <w:szCs w:val="21"/>
        </w:rPr>
        <w:t>⑪</w:t>
      </w:r>
      <w:r>
        <w:rPr>
          <w:rFonts w:hint="eastAsia" w:ascii="Courier New" w:hAnsi="宋体"/>
          <w:color w:val="000000"/>
          <w:szCs w:val="21"/>
        </w:rPr>
        <w:t>投标报价的总人工费与技术标中的劳动力安排计划相比，明显过低的；</w:t>
      </w:r>
    </w:p>
    <w:p>
      <w:pPr>
        <w:spacing w:line="360" w:lineRule="auto"/>
        <w:ind w:firstLine="352" w:firstLineChars="168"/>
        <w:rPr>
          <w:rFonts w:ascii="宋体" w:hAnsi="宋体"/>
          <w:b/>
          <w:color w:val="000000"/>
          <w:szCs w:val="21"/>
        </w:rPr>
      </w:pPr>
      <w:r>
        <w:rPr>
          <w:rFonts w:hint="eastAsia" w:ascii="MS Mincho" w:hAnsi="MS Mincho" w:eastAsia="MS Mincho" w:cs="MS Mincho"/>
          <w:color w:val="000000"/>
          <w:szCs w:val="21"/>
        </w:rPr>
        <w:t>⑫</w:t>
      </w:r>
      <w:r>
        <w:rPr>
          <w:rFonts w:hint="eastAsia" w:ascii="Courier New" w:hAnsi="宋体"/>
          <w:color w:val="000000"/>
          <w:szCs w:val="21"/>
        </w:rPr>
        <w:t>法律、法规规定的其它情形。</w:t>
      </w:r>
    </w:p>
    <w:p>
      <w:pPr>
        <w:spacing w:line="400" w:lineRule="exact"/>
        <w:ind w:firstLine="353"/>
        <w:rPr>
          <w:rFonts w:ascii="宋体" w:hAnsi="宋体"/>
          <w:color w:val="000000"/>
          <w:szCs w:val="22"/>
        </w:rPr>
      </w:pPr>
      <w:r>
        <w:rPr>
          <w:rFonts w:hint="eastAsia" w:ascii="宋体" w:hAnsi="宋体"/>
          <w:color w:val="000000"/>
          <w:szCs w:val="22"/>
        </w:rPr>
        <w:t>3.3.2 商务标详细评审</w:t>
      </w:r>
    </w:p>
    <w:p>
      <w:pPr>
        <w:spacing w:line="360" w:lineRule="auto"/>
        <w:ind w:firstLine="352" w:firstLineChars="168"/>
        <w:rPr>
          <w:rFonts w:ascii="宋体" w:hAnsi="Courier New" w:cs="Courier New"/>
          <w:color w:val="000000"/>
          <w:szCs w:val="21"/>
        </w:rPr>
      </w:pPr>
      <w:r>
        <w:rPr>
          <w:rFonts w:hint="eastAsia" w:ascii="宋体" w:hAnsi="Courier New" w:cs="Courier New"/>
          <w:color w:val="000000"/>
          <w:szCs w:val="21"/>
        </w:rPr>
        <w:t>3.3.2.1 报价规范性评审</w:t>
      </w:r>
    </w:p>
    <w:p>
      <w:pPr>
        <w:spacing w:line="360" w:lineRule="auto"/>
        <w:ind w:firstLine="352" w:firstLineChars="168"/>
        <w:rPr>
          <w:rFonts w:ascii="宋体" w:hAnsi="Courier New" w:cs="Courier New"/>
          <w:color w:val="000000"/>
          <w:szCs w:val="21"/>
        </w:rPr>
      </w:pPr>
      <w:r>
        <w:rPr>
          <w:rFonts w:hint="eastAsia" w:ascii="宋体" w:hAnsi="Courier New" w:cs="Courier New"/>
          <w:color w:val="000000"/>
          <w:szCs w:val="21"/>
        </w:rPr>
        <w:t>对投标报价中分部分项工程综合单价、主要材料价格、人工费（含工日数量及工日单价）、机械费以及规费等进行规范性评审，对明显相互冲突、自相矛盾或不合理的，未按照工程量清单计价规范要求计价的，经评审委员会做重点评审后，可作为无效投标。（如：投标报价中分部分项清单综合单价低于主材价格等情况，做重点评审后可作为无效投标）。</w:t>
      </w:r>
    </w:p>
    <w:p>
      <w:pPr>
        <w:spacing w:line="360" w:lineRule="auto"/>
        <w:ind w:firstLine="352" w:firstLineChars="168"/>
        <w:rPr>
          <w:rFonts w:ascii="宋体" w:hAnsi="Courier New" w:cs="Courier New"/>
          <w:color w:val="000000"/>
          <w:szCs w:val="21"/>
        </w:rPr>
      </w:pPr>
      <w:r>
        <w:rPr>
          <w:rFonts w:hint="eastAsia" w:ascii="宋体" w:hAnsi="Courier New" w:cs="Courier New"/>
          <w:color w:val="000000"/>
          <w:szCs w:val="21"/>
        </w:rPr>
        <w:t>3.3.2.2 不平衡报价评审</w:t>
      </w:r>
    </w:p>
    <w:p>
      <w:pPr>
        <w:spacing w:line="360" w:lineRule="auto"/>
        <w:ind w:firstLine="352" w:firstLineChars="168"/>
        <w:rPr>
          <w:rFonts w:ascii="宋体" w:hAnsi="Courier New" w:cs="Courier New"/>
          <w:color w:val="000000"/>
          <w:szCs w:val="21"/>
        </w:rPr>
      </w:pPr>
      <w:r>
        <w:rPr>
          <w:rFonts w:hint="eastAsia" w:ascii="宋体" w:hAnsi="Courier New" w:cs="Courier New"/>
          <w:color w:val="000000"/>
          <w:szCs w:val="21"/>
        </w:rPr>
        <w:t>不平衡报价评审及结算按以下规定进行：</w:t>
      </w:r>
    </w:p>
    <w:p>
      <w:pPr>
        <w:spacing w:line="360" w:lineRule="auto"/>
        <w:ind w:firstLine="352" w:firstLineChars="168"/>
        <w:rPr>
          <w:rFonts w:ascii="宋体" w:hAnsi="Courier New" w:cs="Courier New"/>
          <w:color w:val="000000"/>
          <w:szCs w:val="21"/>
        </w:rPr>
      </w:pPr>
      <w:r>
        <w:rPr>
          <w:rFonts w:hint="eastAsia" w:ascii="宋体" w:hAnsi="Courier New" w:cs="Courier New"/>
          <w:color w:val="000000"/>
          <w:szCs w:val="21"/>
        </w:rPr>
        <w:t>①对于投标报价中的综合单价明显高出控制价单价或与控制价单价相比明显降幅过大的情况，评委会重点评审后可将其作为恶意不平衡报价进行评审，其商务标作无效标处理。</w:t>
      </w:r>
    </w:p>
    <w:p>
      <w:pPr>
        <w:spacing w:line="360" w:lineRule="auto"/>
        <w:ind w:firstLine="352" w:firstLineChars="168"/>
        <w:rPr>
          <w:rFonts w:ascii="宋体" w:hAnsi="Courier New" w:cs="Courier New"/>
          <w:color w:val="000000"/>
          <w:szCs w:val="21"/>
        </w:rPr>
      </w:pPr>
      <w:r>
        <w:rPr>
          <w:rFonts w:hint="eastAsia" w:ascii="宋体" w:hAnsi="Courier New" w:cs="Courier New"/>
          <w:color w:val="000000"/>
          <w:szCs w:val="21"/>
        </w:rPr>
        <w:t>②供应商应对控制价进行复核，认为控制价及措施费有误的，应在开标前规定疑问提交时限内提出。供应商未提出相关书面异议的，视同认可控制价所有子目组价合理。对于投标报价明显高出控制价单价的情况，评委会重点评审后可将其作为恶意不平衡报价进行评审，其商务标作无效投标处理。</w:t>
      </w:r>
    </w:p>
    <w:p>
      <w:pPr>
        <w:spacing w:line="360" w:lineRule="auto"/>
        <w:ind w:firstLine="352" w:firstLineChars="168"/>
        <w:rPr>
          <w:rFonts w:ascii="宋体" w:hAnsi="Courier New" w:cs="Courier New"/>
          <w:color w:val="000000"/>
          <w:szCs w:val="21"/>
        </w:rPr>
      </w:pPr>
      <w:r>
        <w:rPr>
          <w:rFonts w:hint="eastAsia" w:ascii="宋体" w:hAnsi="Courier New" w:cs="Courier New"/>
          <w:color w:val="000000"/>
          <w:szCs w:val="21"/>
        </w:rPr>
        <w:t>③对于分部分项综合单价投标报价高于控制价相应子目综合单价的清单项目，工程量增加幅度超过本项目工程数量15%（不含15%）的，超过15%的增加部分工程量相应综合单价按控制价相应子目综合单价与投标总价降幅同比下浮标准，作为结算的依据。</w:t>
      </w:r>
    </w:p>
    <w:p>
      <w:pPr>
        <w:spacing w:line="360" w:lineRule="auto"/>
        <w:ind w:firstLine="352" w:firstLineChars="168"/>
        <w:rPr>
          <w:rFonts w:ascii="宋体" w:hAnsi="Courier New" w:cs="Courier New"/>
          <w:color w:val="000000"/>
          <w:szCs w:val="21"/>
        </w:rPr>
      </w:pPr>
      <w:r>
        <w:rPr>
          <w:rFonts w:hint="eastAsia" w:ascii="宋体" w:hAnsi="Courier New" w:cs="Courier New"/>
          <w:color w:val="000000"/>
          <w:szCs w:val="21"/>
        </w:rPr>
        <w:t>④对于分部分项综合单价投标报价降幅低于控制价相应子目综合单价30%以上的清单项目，工程量减少幅度超过本项目工程数量15%（不含15%）的，超过15%的减少部分工程量相应综合单价按控制价相应子目综合单价与投标总价降幅同比下浮标准，作为结算的依据。</w:t>
      </w:r>
    </w:p>
    <w:p>
      <w:pPr>
        <w:keepNext/>
        <w:keepLines/>
        <w:spacing w:before="260" w:after="260" w:line="415" w:lineRule="auto"/>
        <w:outlineLvl w:val="2"/>
        <w:rPr>
          <w:b/>
          <w:bCs/>
          <w:color w:val="000000"/>
          <w:sz w:val="32"/>
          <w:szCs w:val="32"/>
        </w:rPr>
      </w:pPr>
      <w:bookmarkStart w:id="121" w:name="_Toc439064250"/>
      <w:bookmarkStart w:id="122" w:name="_Toc532910222"/>
      <w:bookmarkStart w:id="123" w:name="_Toc532910501"/>
      <w:r>
        <w:rPr>
          <w:rFonts w:hint="eastAsia"/>
          <w:b/>
          <w:bCs/>
          <w:color w:val="000000"/>
          <w:sz w:val="32"/>
          <w:szCs w:val="32"/>
        </w:rPr>
        <w:t>3.4 技术标评审</w:t>
      </w:r>
      <w:bookmarkEnd w:id="121"/>
      <w:bookmarkEnd w:id="122"/>
      <w:bookmarkEnd w:id="123"/>
    </w:p>
    <w:p>
      <w:pPr>
        <w:spacing w:line="360" w:lineRule="auto"/>
        <w:ind w:firstLine="352" w:firstLineChars="168"/>
        <w:rPr>
          <w:rFonts w:ascii="宋体" w:hAnsi="Courier New" w:cs="Courier New"/>
          <w:color w:val="000000"/>
          <w:szCs w:val="21"/>
        </w:rPr>
      </w:pPr>
      <w:r>
        <w:rPr>
          <w:rFonts w:hint="eastAsia" w:ascii="宋体" w:hAnsi="Courier New" w:cs="Courier New"/>
          <w:color w:val="000000"/>
          <w:szCs w:val="21"/>
        </w:rPr>
        <w:t>由评标委员会对投标报价符合要求供应商的技术标书进行符合性评审，评标委员会主要按招标文件的要求，主要对项目施工组织设计，重点专业工程施工技术方案以及拟分包情况等以下几个方面对供应商的技术标进行符合性评审，评审结论采用合格制。对否定的技术标，评委要提出充足的否定理由，并填写在技术标评标记录上。</w:t>
      </w:r>
    </w:p>
    <w:p>
      <w:pPr>
        <w:spacing w:line="360" w:lineRule="auto"/>
        <w:ind w:firstLine="352" w:firstLineChars="168"/>
        <w:rPr>
          <w:rFonts w:ascii="宋体" w:hAnsi="Courier New" w:cs="Courier New"/>
          <w:color w:val="000000"/>
          <w:szCs w:val="21"/>
        </w:rPr>
      </w:pPr>
      <w:r>
        <w:rPr>
          <w:rFonts w:hint="eastAsia" w:ascii="宋体" w:hAnsi="Courier New" w:cs="Courier New"/>
          <w:color w:val="000000"/>
          <w:szCs w:val="21"/>
        </w:rPr>
        <w:t>3.4.1 施工组织设计：</w:t>
      </w:r>
    </w:p>
    <w:p>
      <w:pPr>
        <w:spacing w:line="400" w:lineRule="exact"/>
        <w:ind w:firstLine="420" w:firstLineChars="200"/>
        <w:rPr>
          <w:rFonts w:ascii="宋体" w:hAnsi="宋体"/>
          <w:color w:val="000000"/>
          <w:szCs w:val="22"/>
        </w:rPr>
      </w:pPr>
      <w:r>
        <w:rPr>
          <w:rFonts w:hint="eastAsia" w:ascii="宋体" w:hAnsi="宋体"/>
          <w:color w:val="000000"/>
          <w:szCs w:val="22"/>
        </w:rPr>
        <w:t>（1）主要施工方法：各主要分部施工方法符合项目实际，须有详尽的施工技术方案，工艺先进、方法科学合理、可行，能指导具体施工并确保安全；</w:t>
      </w:r>
    </w:p>
    <w:p>
      <w:pPr>
        <w:spacing w:line="400" w:lineRule="exact"/>
        <w:ind w:firstLine="420" w:firstLineChars="200"/>
        <w:rPr>
          <w:rFonts w:ascii="宋体" w:hAnsi="宋体"/>
          <w:color w:val="000000"/>
          <w:szCs w:val="22"/>
        </w:rPr>
      </w:pPr>
      <w:r>
        <w:rPr>
          <w:rFonts w:hint="eastAsia" w:ascii="宋体" w:hAnsi="宋体"/>
          <w:color w:val="000000"/>
          <w:szCs w:val="22"/>
        </w:rPr>
        <w:t>（2）拟投入的主要物资计划：投入的施工材料有详细计划且计划周密，数量、选型配置、进场数量、时间安排合理，满足施工需要；</w:t>
      </w:r>
    </w:p>
    <w:p>
      <w:pPr>
        <w:spacing w:line="400" w:lineRule="exact"/>
        <w:ind w:firstLine="420" w:firstLineChars="200"/>
        <w:rPr>
          <w:rFonts w:ascii="宋体" w:hAnsi="宋体"/>
          <w:color w:val="000000"/>
          <w:szCs w:val="22"/>
        </w:rPr>
      </w:pPr>
      <w:r>
        <w:rPr>
          <w:rFonts w:hint="eastAsia" w:ascii="宋体" w:hAnsi="宋体"/>
          <w:color w:val="000000"/>
          <w:szCs w:val="22"/>
        </w:rPr>
        <w:t>（3）拟投入的主要施工机械、设备计划：投入的施工机械、设备、机具有详细计划且计划周密，设备数量、选型配置、进场数量、时间安排合理，满足施工需要；</w:t>
      </w:r>
    </w:p>
    <w:p>
      <w:pPr>
        <w:spacing w:line="400" w:lineRule="exact"/>
        <w:ind w:firstLine="420" w:firstLineChars="200"/>
        <w:rPr>
          <w:rFonts w:ascii="宋体" w:hAnsi="宋体"/>
          <w:color w:val="000000"/>
          <w:szCs w:val="22"/>
        </w:rPr>
      </w:pPr>
      <w:r>
        <w:rPr>
          <w:rFonts w:hint="eastAsia" w:ascii="宋体" w:hAnsi="宋体"/>
          <w:color w:val="000000"/>
          <w:szCs w:val="22"/>
        </w:rPr>
        <w:t>（4）劳动力安排计划：各主要施工工序应有详细周密的劳动力安排计划明细，有各工种劳动力安排计划，劳动力投入经济合理，满足施工需要；</w:t>
      </w:r>
    </w:p>
    <w:p>
      <w:pPr>
        <w:spacing w:line="400" w:lineRule="exact"/>
        <w:ind w:firstLine="420" w:firstLineChars="200"/>
        <w:rPr>
          <w:rFonts w:ascii="宋体" w:hAnsi="宋体"/>
          <w:color w:val="000000"/>
          <w:szCs w:val="22"/>
        </w:rPr>
      </w:pPr>
      <w:r>
        <w:rPr>
          <w:rFonts w:hint="eastAsia" w:ascii="宋体" w:hAnsi="宋体"/>
          <w:color w:val="000000"/>
          <w:szCs w:val="22"/>
        </w:rPr>
        <w:t>（5）确保工程质量的技术组织措施：施工项目应有专门的质量技术管理班子和制度，且人员配备合理，制度健全。主要工序应有质量技术保证措施和手段，自控体系完整，能有效保证技术质量，达到承诺的质量标准；</w:t>
      </w:r>
    </w:p>
    <w:p>
      <w:pPr>
        <w:spacing w:line="400" w:lineRule="exact"/>
        <w:ind w:firstLine="420" w:firstLineChars="200"/>
        <w:rPr>
          <w:rFonts w:ascii="宋体" w:hAnsi="宋体"/>
          <w:color w:val="000000"/>
          <w:szCs w:val="22"/>
        </w:rPr>
      </w:pPr>
      <w:r>
        <w:rPr>
          <w:rFonts w:hint="eastAsia" w:ascii="宋体" w:hAnsi="宋体"/>
          <w:color w:val="000000"/>
          <w:szCs w:val="22"/>
        </w:rPr>
        <w:t>（6）确保安全生产的技术组织措施 ：施工项目应有专门的安全管理人员和制度，且人员配备合理，制度健全，各道工序安全技术措施针对性强，符合实际且满足有关安全技术标准要求。现场防火、社会治安安全措施得力；</w:t>
      </w:r>
    </w:p>
    <w:p>
      <w:pPr>
        <w:spacing w:line="400" w:lineRule="exact"/>
        <w:ind w:firstLine="420" w:firstLineChars="200"/>
        <w:rPr>
          <w:rFonts w:ascii="宋体" w:hAnsi="宋体"/>
          <w:color w:val="000000"/>
          <w:szCs w:val="22"/>
        </w:rPr>
      </w:pPr>
      <w:r>
        <w:rPr>
          <w:rFonts w:hint="eastAsia" w:ascii="宋体" w:hAnsi="宋体"/>
          <w:color w:val="000000"/>
          <w:szCs w:val="22"/>
        </w:rPr>
        <w:t>（7）确保工期的技术组织措施：在施工工艺、施工方法、材料选用、劳动力安排、技术等方面有保证工期的具体措施且措施得当。有控制工期的施工进度计划。应有施工总进度表或施工网络图，各项计划图表编制完善，安排科学合理，符合本项目施工实际要求；</w:t>
      </w:r>
    </w:p>
    <w:p>
      <w:pPr>
        <w:spacing w:line="400" w:lineRule="exact"/>
        <w:ind w:firstLine="420" w:firstLineChars="200"/>
        <w:rPr>
          <w:rFonts w:ascii="宋体" w:hAnsi="宋体"/>
          <w:color w:val="000000"/>
          <w:szCs w:val="22"/>
        </w:rPr>
      </w:pPr>
      <w:r>
        <w:rPr>
          <w:rFonts w:hint="eastAsia" w:ascii="宋体" w:hAnsi="宋体"/>
          <w:color w:val="000000"/>
          <w:szCs w:val="22"/>
        </w:rPr>
        <w:t>（8）确保文明施工的技术组织措施：针对本工程项目特点，应有现场文明施工计划，环境保护措施，且计划措施内容应达到“安全文明示范工地”标准。各项措施周全、具体、有效。有具体实现现场文明施工目标的承诺；</w:t>
      </w:r>
    </w:p>
    <w:p>
      <w:pPr>
        <w:spacing w:line="400" w:lineRule="exact"/>
        <w:ind w:firstLine="420" w:firstLineChars="200"/>
        <w:rPr>
          <w:rFonts w:ascii="宋体" w:hAnsi="宋体"/>
          <w:color w:val="000000"/>
          <w:szCs w:val="22"/>
        </w:rPr>
      </w:pPr>
      <w:r>
        <w:rPr>
          <w:rFonts w:hint="eastAsia" w:ascii="宋体" w:hAnsi="宋体"/>
          <w:color w:val="000000"/>
          <w:szCs w:val="22"/>
        </w:rPr>
        <w:t>（9）工程施工的重点和难点及保证措施是否正确（须与供应商须知前附表重难点相对应，可以根据供应商理解另行增加内容）；</w:t>
      </w:r>
    </w:p>
    <w:p>
      <w:pPr>
        <w:spacing w:line="400" w:lineRule="exact"/>
        <w:ind w:firstLine="420" w:firstLineChars="200"/>
        <w:rPr>
          <w:rFonts w:ascii="宋体" w:hAnsi="宋体"/>
          <w:color w:val="000000"/>
          <w:szCs w:val="22"/>
        </w:rPr>
      </w:pPr>
      <w:r>
        <w:rPr>
          <w:rFonts w:hint="eastAsia" w:ascii="宋体" w:hAnsi="宋体"/>
          <w:color w:val="000000"/>
          <w:szCs w:val="22"/>
        </w:rPr>
        <w:t>（10）施工总平面布置图 ：应有施工总平面布置图，安排科学合理，符合本项目施工实际要求；</w:t>
      </w:r>
    </w:p>
    <w:p>
      <w:pPr>
        <w:spacing w:line="400" w:lineRule="exact"/>
        <w:ind w:firstLine="420" w:firstLineChars="200"/>
        <w:rPr>
          <w:rFonts w:ascii="宋体" w:hAnsi="宋体"/>
          <w:color w:val="000000"/>
          <w:szCs w:val="22"/>
        </w:rPr>
      </w:pPr>
      <w:r>
        <w:rPr>
          <w:rFonts w:hint="eastAsia" w:ascii="宋体" w:hAnsi="宋体"/>
          <w:color w:val="000000"/>
          <w:szCs w:val="22"/>
        </w:rPr>
        <w:t>（11）施工组织设计的针对性、完整性。</w:t>
      </w:r>
    </w:p>
    <w:p>
      <w:pPr>
        <w:spacing w:line="400" w:lineRule="exact"/>
        <w:ind w:firstLine="420" w:firstLineChars="200"/>
        <w:rPr>
          <w:rFonts w:ascii="宋体" w:hAnsi="宋体"/>
          <w:color w:val="000000"/>
          <w:szCs w:val="22"/>
        </w:rPr>
      </w:pPr>
      <w:r>
        <w:rPr>
          <w:rFonts w:hint="eastAsia" w:ascii="宋体" w:hAnsi="宋体" w:cs="Courier New"/>
          <w:bCs/>
          <w:color w:val="000000"/>
          <w:szCs w:val="21"/>
        </w:rPr>
        <w:t xml:space="preserve">3.4.2 </w:t>
      </w:r>
      <w:r>
        <w:rPr>
          <w:rFonts w:hint="eastAsia" w:ascii="宋体" w:hAnsi="宋体"/>
          <w:color w:val="000000"/>
          <w:szCs w:val="22"/>
        </w:rPr>
        <w:t>其它内容（如有）是否响应招标文件。</w:t>
      </w:r>
    </w:p>
    <w:p>
      <w:pPr>
        <w:spacing w:line="400" w:lineRule="exact"/>
        <w:ind w:firstLine="420" w:firstLineChars="200"/>
        <w:rPr>
          <w:rFonts w:ascii="宋体" w:hAnsi="宋体"/>
          <w:color w:val="000000"/>
          <w:szCs w:val="22"/>
        </w:rPr>
      </w:pPr>
      <w:r>
        <w:rPr>
          <w:rFonts w:hint="eastAsia" w:ascii="宋体" w:hAnsi="宋体"/>
          <w:color w:val="000000"/>
          <w:szCs w:val="22"/>
        </w:rPr>
        <w:t>评审时，应结合本工程特点及招标文件的要求对投标单位编制的技术标逐项评定，查看是否科学、合理、可行。如发现投标文件内容与招标文件规定内容存在偏差，应要求供应商澄清、说明或补正。</w:t>
      </w:r>
    </w:p>
    <w:p>
      <w:pPr>
        <w:spacing w:line="360" w:lineRule="auto"/>
        <w:ind w:firstLine="352" w:firstLineChars="168"/>
        <w:rPr>
          <w:rFonts w:ascii="宋体" w:hAnsi="宋体"/>
          <w:color w:val="000000"/>
          <w:szCs w:val="22"/>
        </w:rPr>
      </w:pPr>
      <w:r>
        <w:rPr>
          <w:rFonts w:hint="eastAsia" w:ascii="宋体" w:hAnsi="宋体" w:cs="Courier New"/>
          <w:bCs/>
          <w:color w:val="000000"/>
          <w:szCs w:val="21"/>
        </w:rPr>
        <w:t>3.4.3</w:t>
      </w:r>
      <w:r>
        <w:rPr>
          <w:rFonts w:hint="eastAsia" w:ascii="宋体" w:hAnsi="宋体"/>
          <w:color w:val="000000"/>
          <w:szCs w:val="22"/>
        </w:rPr>
        <w:t xml:space="preserve"> 技术标无效判定</w:t>
      </w:r>
    </w:p>
    <w:p>
      <w:pPr>
        <w:spacing w:line="400" w:lineRule="exact"/>
        <w:ind w:firstLine="420" w:firstLineChars="200"/>
        <w:rPr>
          <w:rFonts w:ascii="宋体" w:hAnsi="宋体"/>
          <w:color w:val="000000"/>
          <w:szCs w:val="22"/>
        </w:rPr>
      </w:pPr>
      <w:r>
        <w:rPr>
          <w:rFonts w:hint="eastAsia" w:ascii="宋体" w:hAnsi="宋体"/>
          <w:color w:val="000000"/>
          <w:szCs w:val="22"/>
        </w:rPr>
        <w:t>供应商有以下情形之一的，经评标委员会评审后其技术标作无效判定：</w:t>
      </w:r>
    </w:p>
    <w:p>
      <w:pPr>
        <w:spacing w:line="400" w:lineRule="exact"/>
        <w:ind w:firstLine="420" w:firstLineChars="200"/>
        <w:rPr>
          <w:rFonts w:ascii="宋体" w:hAnsi="宋体"/>
          <w:color w:val="000000"/>
          <w:szCs w:val="22"/>
        </w:rPr>
      </w:pPr>
      <w:r>
        <w:rPr>
          <w:rFonts w:hint="eastAsia" w:ascii="宋体" w:hAnsi="宋体"/>
          <w:color w:val="000000"/>
          <w:szCs w:val="22"/>
        </w:rPr>
        <w:t>（1）串通投标或弄虚作假或有其他违法行为的。</w:t>
      </w:r>
    </w:p>
    <w:p>
      <w:pPr>
        <w:spacing w:line="400" w:lineRule="exact"/>
        <w:ind w:firstLine="420" w:firstLineChars="200"/>
        <w:rPr>
          <w:rFonts w:ascii="宋体" w:hAnsi="宋体"/>
          <w:color w:val="000000"/>
          <w:szCs w:val="22"/>
        </w:rPr>
      </w:pPr>
      <w:r>
        <w:rPr>
          <w:rFonts w:hint="eastAsia" w:ascii="宋体" w:hAnsi="宋体"/>
          <w:color w:val="000000"/>
          <w:szCs w:val="22"/>
        </w:rPr>
        <w:t>（2）工期、质量标准、技术规格、施工方案评审文件或其它实质性要求不能满足招标文件要求,或作出的承诺与招标文件中要求的相关承诺条款实质性不相符的。</w:t>
      </w:r>
    </w:p>
    <w:p>
      <w:pPr>
        <w:spacing w:line="400" w:lineRule="exact"/>
        <w:ind w:firstLine="420" w:firstLineChars="200"/>
        <w:rPr>
          <w:rFonts w:ascii="宋体" w:hAnsi="宋体"/>
          <w:color w:val="000000"/>
          <w:szCs w:val="22"/>
        </w:rPr>
      </w:pPr>
      <w:r>
        <w:rPr>
          <w:rFonts w:hint="eastAsia" w:ascii="宋体" w:hAnsi="宋体"/>
          <w:color w:val="000000"/>
          <w:szCs w:val="22"/>
        </w:rPr>
        <w:t>（3）未按规定的格式填写，实质性内容不全或关键字迹模糊、无法辨认的。</w:t>
      </w:r>
    </w:p>
    <w:p>
      <w:pPr>
        <w:spacing w:line="400" w:lineRule="exact"/>
        <w:ind w:firstLine="420" w:firstLineChars="200"/>
        <w:rPr>
          <w:rFonts w:ascii="宋体" w:hAnsi="宋体"/>
          <w:color w:val="000000"/>
          <w:szCs w:val="22"/>
        </w:rPr>
      </w:pPr>
      <w:r>
        <w:rPr>
          <w:rFonts w:hint="eastAsia" w:ascii="宋体" w:hAnsi="宋体"/>
          <w:color w:val="000000"/>
          <w:szCs w:val="22"/>
        </w:rPr>
        <w:t>（4）供应商拒不按照要求对投标文件进行澄清、说明、补正的。</w:t>
      </w:r>
    </w:p>
    <w:p>
      <w:pPr>
        <w:spacing w:line="400" w:lineRule="exact"/>
        <w:ind w:firstLine="420" w:firstLineChars="200"/>
        <w:rPr>
          <w:rFonts w:ascii="宋体" w:hAnsi="宋体"/>
          <w:color w:val="000000"/>
          <w:szCs w:val="22"/>
        </w:rPr>
      </w:pPr>
      <w:r>
        <w:rPr>
          <w:rFonts w:hint="eastAsia" w:ascii="宋体" w:hAnsi="宋体"/>
          <w:color w:val="000000"/>
          <w:szCs w:val="22"/>
        </w:rPr>
        <w:t>（5）投标文件中存在招标人不能接受的其它实质性条件。</w:t>
      </w:r>
    </w:p>
    <w:p>
      <w:pPr>
        <w:spacing w:line="400" w:lineRule="exact"/>
        <w:ind w:firstLine="420" w:firstLineChars="200"/>
        <w:rPr>
          <w:rFonts w:ascii="宋体" w:hAnsi="宋体"/>
          <w:color w:val="000000"/>
          <w:szCs w:val="22"/>
        </w:rPr>
      </w:pPr>
      <w:r>
        <w:rPr>
          <w:rFonts w:hint="eastAsia" w:ascii="宋体" w:hAnsi="宋体"/>
          <w:color w:val="000000"/>
          <w:szCs w:val="22"/>
        </w:rPr>
        <w:t>（6）技术标要求必过条款供应商投标文件相关部分经评委会审核不通过的。</w:t>
      </w:r>
    </w:p>
    <w:p>
      <w:pPr>
        <w:spacing w:line="400" w:lineRule="exact"/>
        <w:ind w:firstLine="420" w:firstLineChars="200"/>
        <w:rPr>
          <w:rFonts w:ascii="宋体" w:hAnsi="宋体"/>
          <w:color w:val="000000"/>
          <w:szCs w:val="22"/>
        </w:rPr>
      </w:pPr>
      <w:r>
        <w:rPr>
          <w:rFonts w:hint="eastAsia" w:ascii="宋体" w:hAnsi="宋体"/>
          <w:color w:val="000000"/>
          <w:szCs w:val="22"/>
        </w:rPr>
        <w:t>（7）供应商技术标通过条款总数不满足招标文件要求的。</w:t>
      </w:r>
    </w:p>
    <w:p>
      <w:pPr>
        <w:spacing w:line="400" w:lineRule="exact"/>
        <w:ind w:firstLine="420" w:firstLineChars="200"/>
        <w:rPr>
          <w:rFonts w:ascii="宋体" w:hAnsi="宋体"/>
          <w:color w:val="000000"/>
          <w:szCs w:val="22"/>
        </w:rPr>
      </w:pPr>
      <w:r>
        <w:rPr>
          <w:rFonts w:hint="eastAsia" w:ascii="宋体" w:hAnsi="宋体"/>
          <w:color w:val="000000"/>
          <w:szCs w:val="22"/>
        </w:rPr>
        <w:t>（8）法律、法规规定的其它情形。</w:t>
      </w:r>
    </w:p>
    <w:p>
      <w:pPr>
        <w:keepNext/>
        <w:keepLines/>
        <w:spacing w:before="260" w:after="260" w:line="415" w:lineRule="auto"/>
        <w:outlineLvl w:val="2"/>
        <w:rPr>
          <w:b/>
          <w:bCs/>
          <w:color w:val="000000"/>
          <w:sz w:val="32"/>
          <w:szCs w:val="32"/>
        </w:rPr>
      </w:pPr>
      <w:bookmarkStart w:id="124" w:name="_Toc439064251"/>
      <w:bookmarkStart w:id="125" w:name="_Toc532910223"/>
      <w:bookmarkStart w:id="126" w:name="_Toc532910502"/>
      <w:r>
        <w:rPr>
          <w:rFonts w:hint="eastAsia"/>
          <w:b/>
          <w:bCs/>
          <w:color w:val="000000"/>
          <w:sz w:val="32"/>
          <w:szCs w:val="32"/>
        </w:rPr>
        <w:t>3.5 投标文件的澄清和补正</w:t>
      </w:r>
      <w:bookmarkEnd w:id="124"/>
      <w:bookmarkEnd w:id="125"/>
      <w:bookmarkEnd w:id="126"/>
    </w:p>
    <w:p>
      <w:pPr>
        <w:spacing w:line="400" w:lineRule="exact"/>
        <w:ind w:firstLine="420" w:firstLineChars="200"/>
        <w:rPr>
          <w:rFonts w:ascii="宋体" w:hAnsi="宋体"/>
          <w:color w:val="000000"/>
          <w:szCs w:val="22"/>
        </w:rPr>
      </w:pPr>
      <w:r>
        <w:rPr>
          <w:rFonts w:hint="eastAsia" w:ascii="宋体" w:hAnsi="宋体"/>
          <w:color w:val="000000"/>
          <w:szCs w:val="22"/>
        </w:rPr>
        <w:t>3.5.1 在评标过程中，评标委员会可以要求供应商对所提交的投标文件中不明确的内容进行澄清或说明，或者对细微偏差进行补正。评标委员会不接受供应商主动提出的澄清、说明或补正。</w:t>
      </w:r>
    </w:p>
    <w:p>
      <w:pPr>
        <w:spacing w:line="400" w:lineRule="exact"/>
        <w:ind w:firstLine="420" w:firstLineChars="200"/>
        <w:rPr>
          <w:rFonts w:ascii="宋体" w:hAnsi="宋体"/>
          <w:color w:val="000000"/>
          <w:szCs w:val="22"/>
        </w:rPr>
      </w:pPr>
      <w:r>
        <w:rPr>
          <w:rFonts w:hint="eastAsia" w:ascii="宋体" w:hAnsi="宋体"/>
          <w:color w:val="000000"/>
          <w:szCs w:val="22"/>
        </w:rPr>
        <w:t>3.5.2 供应商必须在评标委员会规定合理时间内将澄清、说明或补正内容提交评委会，评委会将对澄清、说明或补正内容评审后决定是否符合要求并现场告知。澄清时间自评委会要求时间起最多不超过30分钟（具体时间根据评委会要求确定）。在规定时间内未按评委会要求进行澄清、说明或补正内容的视同供应商放弃澄清、说明或补正内容权利，评委会可按对供应商不利的解释去进行判定。</w:t>
      </w:r>
    </w:p>
    <w:p>
      <w:pPr>
        <w:spacing w:line="400" w:lineRule="exact"/>
        <w:ind w:firstLine="420" w:firstLineChars="200"/>
        <w:rPr>
          <w:rFonts w:ascii="宋体" w:hAnsi="宋体"/>
          <w:color w:val="000000"/>
          <w:szCs w:val="22"/>
        </w:rPr>
      </w:pPr>
      <w:r>
        <w:rPr>
          <w:rFonts w:hint="eastAsia" w:ascii="宋体" w:hAnsi="宋体"/>
          <w:color w:val="000000"/>
          <w:szCs w:val="22"/>
        </w:rPr>
        <w:t>3.5.3 澄清、说明和补正不得改变投标文件的实质性内容（算术性错误修正的除外），供应商的澄清、说明和补正属于投标文件的组成部分。</w:t>
      </w:r>
    </w:p>
    <w:p>
      <w:pPr>
        <w:spacing w:line="400" w:lineRule="exact"/>
        <w:ind w:firstLine="420" w:firstLineChars="200"/>
        <w:rPr>
          <w:rFonts w:ascii="宋体" w:hAnsi="宋体"/>
          <w:color w:val="000000"/>
          <w:szCs w:val="22"/>
        </w:rPr>
      </w:pPr>
      <w:r>
        <w:rPr>
          <w:rFonts w:hint="eastAsia" w:ascii="宋体" w:hAnsi="宋体"/>
          <w:color w:val="000000"/>
          <w:szCs w:val="22"/>
        </w:rPr>
        <w:t>3.5.4 评标委员会对供应商提交的澄清、说明或补正有疑问的，可以要求供应商进一步澄清、说明或补正，直至满足评标委员会的要求。</w:t>
      </w:r>
    </w:p>
    <w:p>
      <w:pPr>
        <w:keepNext/>
        <w:keepLines/>
        <w:spacing w:before="260" w:after="260" w:line="415" w:lineRule="auto"/>
        <w:outlineLvl w:val="2"/>
        <w:rPr>
          <w:b/>
          <w:bCs/>
          <w:color w:val="000000"/>
          <w:sz w:val="32"/>
          <w:szCs w:val="32"/>
        </w:rPr>
      </w:pPr>
      <w:bookmarkStart w:id="127" w:name="_Toc439064252"/>
      <w:bookmarkStart w:id="128" w:name="_Toc532910224"/>
      <w:bookmarkStart w:id="129" w:name="_Toc532910503"/>
      <w:r>
        <w:rPr>
          <w:rFonts w:hint="eastAsia"/>
          <w:b/>
          <w:bCs/>
          <w:color w:val="000000"/>
          <w:sz w:val="32"/>
          <w:szCs w:val="32"/>
        </w:rPr>
        <w:t>3.6 评标结果</w:t>
      </w:r>
      <w:bookmarkEnd w:id="127"/>
      <w:bookmarkEnd w:id="128"/>
      <w:bookmarkEnd w:id="129"/>
    </w:p>
    <w:p>
      <w:pPr>
        <w:spacing w:line="400" w:lineRule="exact"/>
        <w:ind w:firstLine="420" w:firstLineChars="200"/>
        <w:rPr>
          <w:rFonts w:ascii="宋体" w:hAnsi="宋体"/>
          <w:color w:val="000000"/>
          <w:szCs w:val="22"/>
        </w:rPr>
      </w:pPr>
      <w:r>
        <w:rPr>
          <w:rFonts w:hint="eastAsia" w:ascii="宋体" w:hAnsi="宋体"/>
          <w:color w:val="000000"/>
          <w:szCs w:val="22"/>
        </w:rPr>
        <w:t>3.6.1 除第二章供应商须知前附表授权直接确定中标人外，评标委员会按照经评审的价格由低到高的顺序推荐中标候选人。</w:t>
      </w:r>
    </w:p>
    <w:p>
      <w:pPr>
        <w:spacing w:line="400" w:lineRule="exact"/>
        <w:ind w:firstLine="420" w:firstLineChars="200"/>
        <w:rPr>
          <w:rFonts w:ascii="宋体" w:hAnsi="宋体"/>
          <w:color w:val="000000"/>
          <w:szCs w:val="21"/>
        </w:rPr>
      </w:pPr>
      <w:r>
        <w:rPr>
          <w:rFonts w:hint="eastAsia" w:ascii="宋体" w:hAnsi="宋体"/>
          <w:color w:val="000000"/>
          <w:szCs w:val="21"/>
        </w:rPr>
        <w:t>3.6.2 评标委员会完成评标后，应当向招标人提交评标报告。评标报告应当如实记载以下内容：</w:t>
      </w:r>
    </w:p>
    <w:p>
      <w:pPr>
        <w:spacing w:line="400" w:lineRule="exact"/>
        <w:ind w:firstLine="420" w:firstLineChars="200"/>
        <w:rPr>
          <w:rFonts w:ascii="宋体" w:hAnsi="宋体"/>
          <w:color w:val="000000"/>
          <w:szCs w:val="21"/>
        </w:rPr>
      </w:pPr>
      <w:r>
        <w:rPr>
          <w:rFonts w:hint="eastAsia" w:ascii="宋体" w:hAnsi="宋体"/>
          <w:color w:val="000000"/>
          <w:szCs w:val="21"/>
        </w:rPr>
        <w:t>(1)基本情况和数据表。</w:t>
      </w:r>
    </w:p>
    <w:p>
      <w:pPr>
        <w:spacing w:line="400" w:lineRule="exact"/>
        <w:ind w:firstLine="420" w:firstLineChars="200"/>
        <w:rPr>
          <w:rFonts w:ascii="宋体" w:hAnsi="宋体"/>
          <w:color w:val="000000"/>
          <w:szCs w:val="21"/>
        </w:rPr>
      </w:pPr>
      <w:r>
        <w:rPr>
          <w:rFonts w:hint="eastAsia" w:ascii="宋体" w:hAnsi="宋体"/>
          <w:color w:val="000000"/>
          <w:szCs w:val="21"/>
        </w:rPr>
        <w:t>(2)评标委员会成员名单。</w:t>
      </w:r>
    </w:p>
    <w:p>
      <w:pPr>
        <w:spacing w:line="400" w:lineRule="exact"/>
        <w:ind w:firstLine="420" w:firstLineChars="200"/>
        <w:rPr>
          <w:rFonts w:ascii="宋体" w:hAnsi="宋体"/>
          <w:color w:val="000000"/>
          <w:szCs w:val="21"/>
        </w:rPr>
      </w:pPr>
      <w:r>
        <w:rPr>
          <w:rFonts w:hint="eastAsia" w:ascii="宋体" w:hAnsi="宋体"/>
          <w:color w:val="000000"/>
          <w:szCs w:val="21"/>
        </w:rPr>
        <w:t>(3)开标记录。</w:t>
      </w:r>
    </w:p>
    <w:p>
      <w:pPr>
        <w:spacing w:line="400" w:lineRule="exact"/>
        <w:ind w:firstLine="420" w:firstLineChars="200"/>
        <w:rPr>
          <w:rFonts w:ascii="宋体" w:hAnsi="宋体"/>
          <w:color w:val="000000"/>
          <w:szCs w:val="21"/>
        </w:rPr>
      </w:pPr>
      <w:r>
        <w:rPr>
          <w:rFonts w:hint="eastAsia" w:ascii="宋体" w:hAnsi="宋体"/>
          <w:color w:val="000000"/>
          <w:szCs w:val="21"/>
        </w:rPr>
        <w:t>(4)符合要求的供应商一览表。</w:t>
      </w:r>
    </w:p>
    <w:p>
      <w:pPr>
        <w:spacing w:line="400" w:lineRule="exact"/>
        <w:ind w:firstLine="420" w:firstLineChars="200"/>
        <w:rPr>
          <w:rFonts w:ascii="宋体" w:hAnsi="宋体"/>
          <w:color w:val="000000"/>
          <w:szCs w:val="21"/>
        </w:rPr>
      </w:pPr>
      <w:r>
        <w:rPr>
          <w:rFonts w:hint="eastAsia" w:ascii="宋体" w:hAnsi="宋体"/>
          <w:color w:val="000000"/>
          <w:szCs w:val="21"/>
        </w:rPr>
        <w:t>(5)无效标情况说明。</w:t>
      </w:r>
    </w:p>
    <w:p>
      <w:pPr>
        <w:spacing w:line="400" w:lineRule="exact"/>
        <w:ind w:firstLine="420" w:firstLineChars="200"/>
        <w:rPr>
          <w:rFonts w:ascii="宋体" w:hAnsi="宋体"/>
          <w:color w:val="000000"/>
          <w:szCs w:val="21"/>
        </w:rPr>
      </w:pPr>
      <w:r>
        <w:rPr>
          <w:rFonts w:hint="eastAsia" w:ascii="宋体" w:hAnsi="宋体"/>
          <w:color w:val="000000"/>
          <w:szCs w:val="21"/>
        </w:rPr>
        <w:t>(6)评标标准、评标方法或者评标因素一览表。</w:t>
      </w:r>
    </w:p>
    <w:p>
      <w:pPr>
        <w:spacing w:line="400" w:lineRule="exact"/>
        <w:ind w:firstLine="420" w:firstLineChars="200"/>
        <w:rPr>
          <w:rFonts w:ascii="宋体" w:hAnsi="宋体"/>
          <w:color w:val="000000"/>
          <w:szCs w:val="21"/>
        </w:rPr>
      </w:pPr>
      <w:r>
        <w:rPr>
          <w:rFonts w:hint="eastAsia" w:ascii="宋体" w:hAnsi="宋体"/>
          <w:color w:val="000000"/>
          <w:szCs w:val="21"/>
        </w:rPr>
        <w:t>(7)经评审的价格一览表。</w:t>
      </w:r>
    </w:p>
    <w:p>
      <w:pPr>
        <w:spacing w:line="400" w:lineRule="exact"/>
        <w:ind w:firstLine="420" w:firstLineChars="200"/>
        <w:rPr>
          <w:rFonts w:ascii="宋体" w:hAnsi="宋体"/>
          <w:color w:val="000000"/>
          <w:szCs w:val="21"/>
        </w:rPr>
      </w:pPr>
      <w:r>
        <w:rPr>
          <w:rFonts w:hint="eastAsia" w:ascii="宋体" w:hAnsi="宋体"/>
          <w:color w:val="000000"/>
          <w:szCs w:val="21"/>
        </w:rPr>
        <w:t>(8)经评审的供应商排序。</w:t>
      </w:r>
    </w:p>
    <w:p>
      <w:pPr>
        <w:spacing w:line="400" w:lineRule="exact"/>
        <w:ind w:firstLine="420" w:firstLineChars="200"/>
        <w:rPr>
          <w:rFonts w:ascii="宋体" w:hAnsi="宋体"/>
          <w:color w:val="000000"/>
          <w:szCs w:val="21"/>
        </w:rPr>
      </w:pPr>
      <w:r>
        <w:rPr>
          <w:rFonts w:hint="eastAsia" w:ascii="宋体" w:hAnsi="宋体"/>
          <w:color w:val="000000"/>
          <w:szCs w:val="21"/>
        </w:rPr>
        <w:t>(9)推荐的中标候选人名单与签订合同前要处理的事宜。</w:t>
      </w:r>
    </w:p>
    <w:p>
      <w:pPr>
        <w:spacing w:line="400" w:lineRule="exact"/>
        <w:ind w:firstLine="420" w:firstLineChars="200"/>
        <w:rPr>
          <w:rFonts w:ascii="宋体" w:hAnsi="宋体"/>
          <w:color w:val="000000"/>
          <w:szCs w:val="21"/>
        </w:rPr>
      </w:pPr>
      <w:r>
        <w:rPr>
          <w:rFonts w:hint="eastAsia" w:ascii="宋体" w:hAnsi="宋体"/>
          <w:color w:val="000000"/>
          <w:szCs w:val="21"/>
        </w:rPr>
        <w:t>(10)澄清、说明、补正事项纪要。</w:t>
      </w:r>
    </w:p>
    <w:p>
      <w:pPr>
        <w:spacing w:line="400" w:lineRule="exact"/>
        <w:ind w:firstLine="420" w:firstLineChars="200"/>
        <w:rPr>
          <w:rFonts w:ascii="宋体" w:hAnsi="宋体"/>
          <w:color w:val="000000"/>
          <w:szCs w:val="21"/>
        </w:rPr>
      </w:pPr>
      <w:r>
        <w:rPr>
          <w:rFonts w:hint="eastAsia" w:ascii="宋体" w:hAnsi="宋体"/>
          <w:color w:val="000000"/>
          <w:szCs w:val="21"/>
        </w:rPr>
        <w:t>3.6.3 评标委员会推荐的中标候选人应当限定在1-3名，并标明排列顺序。</w:t>
      </w:r>
    </w:p>
    <w:p>
      <w:pPr>
        <w:spacing w:line="400" w:lineRule="exact"/>
        <w:ind w:firstLine="420" w:firstLineChars="200"/>
        <w:rPr>
          <w:rFonts w:ascii="宋体" w:hAnsi="宋体"/>
          <w:color w:val="000000"/>
          <w:szCs w:val="21"/>
        </w:rPr>
      </w:pPr>
      <w:r>
        <w:rPr>
          <w:rFonts w:hint="eastAsia" w:ascii="宋体" w:hAnsi="宋体"/>
          <w:color w:val="000000"/>
          <w:szCs w:val="21"/>
        </w:rPr>
        <w:t>3.6.4 依法必须进行招标的项目，招标人应当确定排名第一的中标候选人为中标人。排名第一的中标候选人放弃中标、因不可抗力提出不能履行合同，或者招标文件规定应当提交履约保证金而在规定的期限内未能提交的，招标人可以确定排名第二的中标候选人为中标人。以此类推。</w:t>
      </w:r>
    </w:p>
    <w:p>
      <w:pPr>
        <w:keepNext/>
        <w:keepLines/>
        <w:spacing w:before="260" w:after="260" w:line="415" w:lineRule="auto"/>
        <w:outlineLvl w:val="2"/>
        <w:rPr>
          <w:b/>
          <w:bCs/>
          <w:color w:val="000000"/>
          <w:sz w:val="32"/>
          <w:szCs w:val="32"/>
        </w:rPr>
      </w:pPr>
      <w:bookmarkStart w:id="130" w:name="_Toc532910225"/>
      <w:bookmarkStart w:id="131" w:name="_Toc532910504"/>
      <w:r>
        <w:rPr>
          <w:rFonts w:hint="eastAsia"/>
          <w:b/>
          <w:bCs/>
          <w:color w:val="000000"/>
          <w:sz w:val="32"/>
          <w:szCs w:val="32"/>
        </w:rPr>
        <w:t>3.7其他</w:t>
      </w:r>
      <w:bookmarkEnd w:id="130"/>
      <w:bookmarkEnd w:id="131"/>
    </w:p>
    <w:p>
      <w:pPr>
        <w:spacing w:line="400" w:lineRule="exact"/>
        <w:ind w:firstLine="422" w:firstLineChars="200"/>
        <w:rPr>
          <w:rFonts w:ascii="宋体" w:hAnsi="宋体"/>
          <w:b/>
          <w:color w:val="000000"/>
          <w:szCs w:val="22"/>
        </w:rPr>
      </w:pPr>
      <w:r>
        <w:rPr>
          <w:rFonts w:hint="eastAsia" w:ascii="宋体" w:hAnsi="宋体"/>
          <w:b/>
          <w:color w:val="000000"/>
          <w:szCs w:val="22"/>
        </w:rPr>
        <w:t>供应商提供的与投标有关的各类证书、证明、文件、资料等的真实性、合法性由供应商负全责。如发现供应商有弄虚作假或提供不实信息的行为，无论在投标有效期内还是在工程实施过程中，一经发现，将被取消其中标资格或终止合同，视为企业不诚信行为。</w:t>
      </w:r>
    </w:p>
    <w:p>
      <w:pPr>
        <w:pStyle w:val="2"/>
        <w:rPr>
          <w:rFonts w:ascii="宋体" w:hAnsi="宋体" w:eastAsia="宋体"/>
          <w:color w:val="000000"/>
        </w:rPr>
      </w:pPr>
      <w:r>
        <w:rPr>
          <w:rFonts w:ascii="宋体" w:hAnsi="宋体" w:eastAsia="宋体"/>
          <w:color w:val="000000"/>
          <w:kern w:val="2"/>
          <w:sz w:val="32"/>
          <w:szCs w:val="32"/>
        </w:rPr>
        <w:br w:type="page"/>
      </w:r>
      <w:r>
        <w:rPr>
          <w:rFonts w:hint="eastAsia" w:ascii="宋体" w:hAnsi="宋体" w:eastAsia="宋体"/>
          <w:color w:val="000000"/>
        </w:rPr>
        <w:t>三、 技术要求</w:t>
      </w:r>
    </w:p>
    <w:p>
      <w:pPr>
        <w:rPr>
          <w:color w:val="000000"/>
        </w:rPr>
      </w:pPr>
    </w:p>
    <w:p>
      <w:pPr>
        <w:spacing w:line="500" w:lineRule="exact"/>
        <w:ind w:firstLine="560" w:firstLineChars="200"/>
        <w:rPr>
          <w:kern w:val="0"/>
          <w:sz w:val="28"/>
          <w:szCs w:val="28"/>
        </w:rPr>
      </w:pPr>
      <w:r>
        <w:rPr>
          <w:sz w:val="28"/>
          <w:szCs w:val="28"/>
        </w:rPr>
        <w:t>1</w:t>
      </w:r>
      <w:r>
        <w:rPr>
          <w:rFonts w:hint="eastAsia"/>
          <w:sz w:val="28"/>
          <w:szCs w:val="28"/>
        </w:rPr>
        <w:t>、按招标人的要求按时进入施工场地，保证按工期保质保量的顺利完成全部工作。</w:t>
      </w:r>
    </w:p>
    <w:p>
      <w:pPr>
        <w:spacing w:line="500" w:lineRule="exact"/>
        <w:ind w:firstLine="560" w:firstLineChars="200"/>
        <w:rPr>
          <w:sz w:val="28"/>
          <w:szCs w:val="28"/>
        </w:rPr>
      </w:pPr>
      <w:r>
        <w:rPr>
          <w:sz w:val="28"/>
          <w:szCs w:val="28"/>
        </w:rPr>
        <w:t>2</w:t>
      </w:r>
      <w:r>
        <w:rPr>
          <w:rFonts w:hint="eastAsia"/>
          <w:sz w:val="28"/>
          <w:szCs w:val="28"/>
        </w:rPr>
        <w:t>、中标人负责对本次招标供应室墙体拆除及恢复，门窗拆除及恢复，水电线路改造，楼板加固等内容。并按国家规范要求和环保要求施工。</w:t>
      </w:r>
    </w:p>
    <w:p>
      <w:pPr>
        <w:spacing w:line="500" w:lineRule="exact"/>
        <w:ind w:firstLine="560" w:firstLineChars="200"/>
        <w:rPr>
          <w:sz w:val="28"/>
          <w:szCs w:val="28"/>
        </w:rPr>
      </w:pPr>
      <w:r>
        <w:rPr>
          <w:sz w:val="28"/>
          <w:szCs w:val="28"/>
        </w:rPr>
        <w:t>3</w:t>
      </w:r>
      <w:r>
        <w:rPr>
          <w:rFonts w:hint="eastAsia"/>
          <w:sz w:val="28"/>
          <w:szCs w:val="28"/>
        </w:rPr>
        <w:t>、负责对施工现场和人员的安全保障工作，在施工工地周边设置防护围栏、警示标志等安全防护设施，安排专人巡视。</w:t>
      </w:r>
    </w:p>
    <w:p>
      <w:pPr>
        <w:spacing w:line="500" w:lineRule="exact"/>
        <w:ind w:firstLine="560" w:firstLineChars="200"/>
        <w:rPr>
          <w:sz w:val="28"/>
          <w:szCs w:val="28"/>
        </w:rPr>
      </w:pPr>
      <w:r>
        <w:rPr>
          <w:sz w:val="28"/>
          <w:szCs w:val="28"/>
        </w:rPr>
        <w:t>4</w:t>
      </w:r>
      <w:r>
        <w:rPr>
          <w:rFonts w:hint="eastAsia"/>
          <w:sz w:val="28"/>
          <w:szCs w:val="28"/>
        </w:rPr>
        <w:t>、保证具备施工相应资质，负责办理施工所需要的所有许可证。</w:t>
      </w:r>
    </w:p>
    <w:p>
      <w:pPr>
        <w:spacing w:line="500" w:lineRule="exact"/>
        <w:ind w:firstLine="560" w:firstLineChars="200"/>
        <w:rPr>
          <w:sz w:val="28"/>
          <w:szCs w:val="28"/>
        </w:rPr>
      </w:pPr>
      <w:r>
        <w:rPr>
          <w:sz w:val="28"/>
          <w:szCs w:val="28"/>
        </w:rPr>
        <w:t>5</w:t>
      </w:r>
      <w:r>
        <w:rPr>
          <w:rFonts w:hint="eastAsia"/>
          <w:sz w:val="28"/>
          <w:szCs w:val="28"/>
        </w:rPr>
        <w:t>、因施工工作造成的事故、行政处罚等一切责任和费用等均由中标人自行承担。</w:t>
      </w:r>
    </w:p>
    <w:p>
      <w:pPr>
        <w:spacing w:line="500" w:lineRule="exact"/>
        <w:ind w:firstLine="560" w:firstLineChars="200"/>
        <w:rPr>
          <w:sz w:val="28"/>
          <w:szCs w:val="28"/>
        </w:rPr>
      </w:pPr>
      <w:r>
        <w:rPr>
          <w:sz w:val="28"/>
          <w:szCs w:val="28"/>
        </w:rPr>
        <w:t>6</w:t>
      </w:r>
      <w:r>
        <w:rPr>
          <w:rFonts w:hint="eastAsia"/>
          <w:sz w:val="28"/>
          <w:szCs w:val="28"/>
        </w:rPr>
        <w:t>、在施工现场坚持安全文明施工，对出入施工现场的道路及时安排人员清扫。拆除施工过程中不得损坏招标人的道路和其他设施，如有损坏负责维修赔偿；若因中标人施工造成甲方其它损失和不良影响的，则由中标人负责赔偿。</w:t>
      </w:r>
    </w:p>
    <w:p>
      <w:pPr>
        <w:spacing w:line="500" w:lineRule="exact"/>
        <w:ind w:firstLine="560" w:firstLineChars="200"/>
        <w:rPr>
          <w:sz w:val="28"/>
          <w:szCs w:val="28"/>
        </w:rPr>
      </w:pPr>
      <w:r>
        <w:rPr>
          <w:sz w:val="28"/>
          <w:szCs w:val="28"/>
        </w:rPr>
        <w:t>7</w:t>
      </w:r>
      <w:r>
        <w:rPr>
          <w:rFonts w:hint="eastAsia"/>
          <w:sz w:val="28"/>
          <w:szCs w:val="28"/>
        </w:rPr>
        <w:t>、严格按照设计图纸要求施工，如有变动和疑义的地方及时以工程联系单的方式提出。</w:t>
      </w:r>
    </w:p>
    <w:p>
      <w:pPr>
        <w:spacing w:line="500" w:lineRule="exact"/>
        <w:ind w:firstLine="560" w:firstLineChars="200"/>
        <w:rPr>
          <w:sz w:val="28"/>
          <w:szCs w:val="28"/>
        </w:rPr>
      </w:pPr>
      <w:r>
        <w:rPr>
          <w:rFonts w:hint="eastAsia"/>
          <w:sz w:val="28"/>
          <w:szCs w:val="28"/>
        </w:rPr>
        <w:t>8、仔细勘探现场，确保做到楼板加固及施工质量可靠有效。</w:t>
      </w:r>
      <w:r>
        <w:rPr>
          <w:rFonts w:ascii="宋体" w:hAnsi="宋体"/>
          <w:b/>
          <w:color w:val="000000"/>
          <w:sz w:val="24"/>
        </w:rPr>
        <w:br w:type="page"/>
      </w:r>
    </w:p>
    <w:p>
      <w:pPr>
        <w:pStyle w:val="2"/>
        <w:rPr>
          <w:rFonts w:ascii="宋体" w:hAnsi="宋体" w:eastAsia="宋体"/>
          <w:color w:val="000000"/>
        </w:rPr>
      </w:pPr>
      <w:bookmarkStart w:id="132" w:name="_Toc508803991"/>
      <w:r>
        <w:rPr>
          <w:rFonts w:hint="eastAsia" w:ascii="宋体" w:hAnsi="宋体" w:eastAsia="宋体"/>
          <w:color w:val="000000"/>
        </w:rPr>
        <w:t>四、 合同条款及格式</w:t>
      </w:r>
    </w:p>
    <w:p>
      <w:pPr>
        <w:jc w:val="center"/>
        <w:rPr>
          <w:rFonts w:ascii="宋体" w:hAnsi="宋体"/>
          <w:color w:val="000000"/>
          <w:sz w:val="28"/>
          <w:szCs w:val="28"/>
        </w:rPr>
      </w:pPr>
      <w:r>
        <w:rPr>
          <w:rFonts w:hint="eastAsia" w:ascii="宋体" w:hAnsi="宋体"/>
          <w:color w:val="000000"/>
          <w:sz w:val="28"/>
          <w:szCs w:val="28"/>
        </w:rPr>
        <w:t>（本合同供双方参考，可签订更详细合同）</w:t>
      </w:r>
    </w:p>
    <w:p>
      <w:pPr>
        <w:spacing w:line="480" w:lineRule="auto"/>
        <w:rPr>
          <w:rFonts w:ascii="宋体" w:hAnsi="宋体"/>
          <w:sz w:val="24"/>
        </w:rPr>
      </w:pPr>
      <w:r>
        <w:rPr>
          <w:rFonts w:hint="eastAsia" w:ascii="宋体" w:hAnsi="宋体"/>
          <w:sz w:val="24"/>
        </w:rPr>
        <w:t>比选方：</w:t>
      </w:r>
      <w:r>
        <w:rPr>
          <w:rFonts w:hint="eastAsia" w:ascii="宋体" w:hAnsi="宋体"/>
          <w:sz w:val="24"/>
          <w:u w:val="single"/>
        </w:rPr>
        <w:t xml:space="preserve">             </w:t>
      </w:r>
      <w:r>
        <w:rPr>
          <w:rFonts w:hint="eastAsia" w:ascii="宋体" w:hAnsi="宋体"/>
          <w:sz w:val="24"/>
        </w:rPr>
        <w:t>（以下简称甲方）</w:t>
      </w:r>
    </w:p>
    <w:p>
      <w:pPr>
        <w:spacing w:line="480" w:lineRule="auto"/>
        <w:rPr>
          <w:rFonts w:ascii="宋体" w:hAnsi="宋体"/>
          <w:sz w:val="24"/>
        </w:rPr>
      </w:pPr>
      <w:r>
        <w:rPr>
          <w:rFonts w:hint="eastAsia" w:ascii="宋体" w:hAnsi="宋体"/>
          <w:sz w:val="24"/>
        </w:rPr>
        <w:t>承包方：</w:t>
      </w:r>
      <w:r>
        <w:rPr>
          <w:rFonts w:hint="eastAsia" w:ascii="宋体" w:hAnsi="宋体"/>
          <w:sz w:val="24"/>
          <w:u w:val="single"/>
        </w:rPr>
        <w:t xml:space="preserve">             </w:t>
      </w:r>
      <w:r>
        <w:rPr>
          <w:rFonts w:hint="eastAsia" w:ascii="宋体" w:hAnsi="宋体"/>
          <w:sz w:val="24"/>
        </w:rPr>
        <w:t>（以下简称乙方）</w:t>
      </w:r>
    </w:p>
    <w:p>
      <w:pPr>
        <w:spacing w:line="480" w:lineRule="auto"/>
        <w:ind w:firstLine="480" w:firstLineChars="200"/>
        <w:rPr>
          <w:rFonts w:ascii="宋体" w:hAnsi="宋体"/>
          <w:sz w:val="24"/>
        </w:rPr>
      </w:pPr>
      <w:r>
        <w:rPr>
          <w:rFonts w:hint="eastAsia" w:ascii="宋体" w:hAnsi="宋体"/>
          <w:sz w:val="24"/>
        </w:rPr>
        <w:t>依照《民法典》、《中华人民共和国建筑法》及其他有关法律、行政法规、遵循平等、自愿、公平和诚实信用的原则，双方协商一致，订立本合同。</w:t>
      </w:r>
    </w:p>
    <w:p>
      <w:pPr>
        <w:spacing w:line="480" w:lineRule="auto"/>
        <w:rPr>
          <w:rFonts w:ascii="宋体" w:hAnsi="宋体"/>
          <w:b/>
          <w:bCs/>
          <w:sz w:val="24"/>
        </w:rPr>
      </w:pPr>
      <w:r>
        <w:rPr>
          <w:rFonts w:hint="eastAsia" w:ascii="宋体" w:hAnsi="宋体"/>
          <w:b/>
          <w:bCs/>
          <w:sz w:val="24"/>
        </w:rPr>
        <w:t>第一条 工程概况</w:t>
      </w:r>
    </w:p>
    <w:p>
      <w:pPr>
        <w:spacing w:line="480" w:lineRule="auto"/>
        <w:rPr>
          <w:rFonts w:hint="default" w:ascii="宋体" w:hAnsi="宋体" w:eastAsia="宋体"/>
          <w:sz w:val="24"/>
          <w:lang w:val="en-US" w:eastAsia="zh-CN"/>
        </w:rPr>
      </w:pPr>
      <w:r>
        <w:rPr>
          <w:rFonts w:hint="eastAsia" w:ascii="宋体" w:hAnsi="宋体"/>
          <w:sz w:val="24"/>
        </w:rPr>
        <w:t>（一）工程名称：</w:t>
      </w:r>
      <w:r>
        <w:rPr>
          <w:rFonts w:hint="eastAsia" w:ascii="宋体" w:hAnsi="宋体"/>
          <w:sz w:val="24"/>
          <w:u w:val="single"/>
        </w:rPr>
        <w:t xml:space="preserve">             </w:t>
      </w:r>
      <w:r>
        <w:rPr>
          <w:rFonts w:hint="eastAsia" w:ascii="宋体" w:hAnsi="宋体"/>
          <w:sz w:val="24"/>
          <w:lang w:val="en-US" w:eastAsia="zh-CN"/>
        </w:rPr>
        <w:t xml:space="preserve">        </w:t>
      </w:r>
    </w:p>
    <w:p>
      <w:pPr>
        <w:spacing w:line="480" w:lineRule="auto"/>
        <w:rPr>
          <w:rFonts w:ascii="宋体" w:hAnsi="宋体"/>
          <w:sz w:val="24"/>
        </w:rPr>
      </w:pPr>
      <w:r>
        <w:rPr>
          <w:rFonts w:hint="eastAsia" w:ascii="宋体" w:hAnsi="宋体"/>
          <w:sz w:val="24"/>
        </w:rPr>
        <w:t>（二）工程地点：</w:t>
      </w:r>
      <w:r>
        <w:rPr>
          <w:rFonts w:hint="eastAsia" w:ascii="宋体" w:hAnsi="宋体"/>
          <w:sz w:val="24"/>
          <w:u w:val="single"/>
        </w:rPr>
        <w:t xml:space="preserve">             </w:t>
      </w:r>
      <w:bookmarkStart w:id="154" w:name="_GoBack"/>
      <w:bookmarkEnd w:id="154"/>
    </w:p>
    <w:p>
      <w:pPr>
        <w:spacing w:line="480" w:lineRule="auto"/>
        <w:rPr>
          <w:rFonts w:ascii="宋体" w:hAnsi="宋体"/>
          <w:sz w:val="24"/>
        </w:rPr>
      </w:pPr>
      <w:r>
        <w:rPr>
          <w:rFonts w:hint="eastAsia" w:ascii="宋体" w:hAnsi="宋体"/>
          <w:sz w:val="24"/>
        </w:rPr>
        <w:t>（三）工程内容：</w:t>
      </w:r>
      <w:r>
        <w:rPr>
          <w:rFonts w:hint="eastAsia" w:ascii="宋体" w:hAnsi="宋体"/>
          <w:sz w:val="24"/>
          <w:u w:val="single"/>
        </w:rPr>
        <w:t>详见合同附件</w:t>
      </w:r>
    </w:p>
    <w:p>
      <w:pPr>
        <w:spacing w:line="480" w:lineRule="auto"/>
        <w:rPr>
          <w:rFonts w:ascii="宋体" w:hAnsi="宋体"/>
          <w:b/>
          <w:bCs/>
          <w:sz w:val="24"/>
        </w:rPr>
      </w:pPr>
      <w:r>
        <w:rPr>
          <w:rFonts w:hint="eastAsia" w:ascii="宋体" w:hAnsi="宋体"/>
          <w:b/>
          <w:bCs/>
          <w:sz w:val="24"/>
        </w:rPr>
        <w:t>第二条 工程承包范围</w:t>
      </w:r>
    </w:p>
    <w:p>
      <w:pPr>
        <w:spacing w:line="480" w:lineRule="auto"/>
        <w:rPr>
          <w:rFonts w:ascii="宋体" w:hAnsi="宋体"/>
          <w:b/>
          <w:bCs/>
          <w:sz w:val="24"/>
        </w:rPr>
      </w:pPr>
      <w:r>
        <w:rPr>
          <w:rFonts w:hint="eastAsia" w:ascii="宋体" w:hAnsi="宋体"/>
          <w:sz w:val="24"/>
        </w:rPr>
        <w:t>（一）工程范围就是招投标文件上要求的范围，如果对方在初次、二次设计图及设计图修改变更等过程中审减的项目以及未施工的项目，应当在结算时作相应的扣减。</w:t>
      </w:r>
    </w:p>
    <w:p>
      <w:pPr>
        <w:spacing w:line="480" w:lineRule="auto"/>
        <w:rPr>
          <w:rFonts w:ascii="宋体" w:hAnsi="宋体"/>
          <w:sz w:val="24"/>
        </w:rPr>
      </w:pPr>
      <w:r>
        <w:rPr>
          <w:rFonts w:hint="eastAsia" w:ascii="宋体" w:hAnsi="宋体"/>
          <w:sz w:val="24"/>
        </w:rPr>
        <w:t>（二）承包方式：包工包料 。</w:t>
      </w:r>
    </w:p>
    <w:p>
      <w:pPr>
        <w:spacing w:line="480" w:lineRule="auto"/>
        <w:rPr>
          <w:rFonts w:ascii="宋体" w:hAnsi="宋体"/>
          <w:b/>
          <w:bCs/>
          <w:sz w:val="24"/>
        </w:rPr>
      </w:pPr>
      <w:r>
        <w:rPr>
          <w:rFonts w:hint="eastAsia" w:ascii="宋体" w:hAnsi="宋体"/>
          <w:b/>
          <w:bCs/>
          <w:sz w:val="24"/>
        </w:rPr>
        <w:t>第三条 质量标准</w:t>
      </w:r>
    </w:p>
    <w:p>
      <w:pPr>
        <w:spacing w:line="480" w:lineRule="auto"/>
        <w:ind w:firstLine="480" w:firstLineChars="200"/>
        <w:rPr>
          <w:rFonts w:ascii="宋体" w:hAnsi="宋体"/>
          <w:sz w:val="24"/>
        </w:rPr>
      </w:pPr>
      <w:r>
        <w:rPr>
          <w:rFonts w:hint="eastAsia" w:ascii="宋体" w:hAnsi="宋体"/>
          <w:sz w:val="24"/>
        </w:rPr>
        <w:t>工程质量标准：以国家和相关行业标准施工，达到标准说明的质量和技术要求。</w:t>
      </w:r>
    </w:p>
    <w:p>
      <w:pPr>
        <w:spacing w:line="480" w:lineRule="auto"/>
        <w:rPr>
          <w:rFonts w:ascii="宋体" w:hAnsi="宋体"/>
          <w:b/>
          <w:bCs/>
          <w:sz w:val="24"/>
        </w:rPr>
      </w:pPr>
      <w:r>
        <w:rPr>
          <w:rFonts w:hint="eastAsia" w:ascii="宋体" w:hAnsi="宋体"/>
          <w:b/>
          <w:bCs/>
          <w:sz w:val="24"/>
        </w:rPr>
        <w:t>第四条 工程期限</w:t>
      </w:r>
    </w:p>
    <w:p>
      <w:pPr>
        <w:spacing w:line="480" w:lineRule="auto"/>
        <w:rPr>
          <w:rFonts w:ascii="宋体" w:hAnsi="宋体"/>
          <w:sz w:val="24"/>
        </w:rPr>
      </w:pPr>
      <w:r>
        <w:rPr>
          <w:rFonts w:hint="eastAsia" w:ascii="宋体" w:hAnsi="宋体"/>
          <w:sz w:val="24"/>
        </w:rPr>
        <w:t>（一）合同工期总日历天数：自签订合同之日起</w:t>
      </w:r>
      <w:r>
        <w:rPr>
          <w:rFonts w:hint="eastAsia" w:ascii="宋体" w:hAnsi="宋体"/>
          <w:color w:val="FF0000"/>
          <w:sz w:val="24"/>
          <w:u w:val="single"/>
        </w:rPr>
        <w:t>1</w:t>
      </w:r>
      <w:r>
        <w:rPr>
          <w:rFonts w:ascii="宋体" w:hAnsi="宋体"/>
          <w:color w:val="FF0000"/>
          <w:sz w:val="24"/>
          <w:u w:val="single"/>
        </w:rPr>
        <w:t>5</w:t>
      </w:r>
      <w:r>
        <w:rPr>
          <w:rFonts w:hint="eastAsia" w:ascii="宋体" w:hAnsi="宋体"/>
          <w:sz w:val="24"/>
        </w:rPr>
        <w:t>天。</w:t>
      </w:r>
    </w:p>
    <w:p>
      <w:pPr>
        <w:spacing w:line="480" w:lineRule="auto"/>
        <w:rPr>
          <w:rFonts w:ascii="宋体" w:hAnsi="宋体"/>
          <w:sz w:val="24"/>
        </w:rPr>
      </w:pPr>
      <w:r>
        <w:rPr>
          <w:rFonts w:hint="eastAsia" w:ascii="宋体" w:hAnsi="宋体"/>
          <w:sz w:val="24"/>
        </w:rPr>
        <w:t>（二）甲方要求比合同约定的工期提前竣工的，应征得乙方同意，如果乙方能够做到的，不应拒绝。</w:t>
      </w:r>
    </w:p>
    <w:p>
      <w:pPr>
        <w:spacing w:line="480" w:lineRule="auto"/>
        <w:rPr>
          <w:rFonts w:ascii="宋体" w:hAnsi="宋体"/>
          <w:sz w:val="24"/>
        </w:rPr>
      </w:pPr>
      <w:r>
        <w:rPr>
          <w:rFonts w:hint="eastAsia" w:ascii="宋体" w:hAnsi="宋体"/>
          <w:sz w:val="24"/>
        </w:rPr>
        <w:t>（三）因甲方原因或非乙方原因导致不能按期完工的，工期相应的顺延。</w:t>
      </w:r>
    </w:p>
    <w:p>
      <w:pPr>
        <w:spacing w:line="480" w:lineRule="auto"/>
        <w:rPr>
          <w:rFonts w:ascii="宋体" w:hAnsi="宋体"/>
          <w:sz w:val="24"/>
        </w:rPr>
      </w:pPr>
      <w:r>
        <w:rPr>
          <w:rFonts w:hint="eastAsia" w:ascii="宋体" w:hAnsi="宋体"/>
          <w:sz w:val="24"/>
        </w:rPr>
        <w:t>（四）因乙方原因不能按期开工或中途无故停工的，工期不顺延。由此产生的一切法律责任和经济损失由乙方自行承担。</w:t>
      </w:r>
    </w:p>
    <w:p>
      <w:pPr>
        <w:spacing w:line="480" w:lineRule="auto"/>
        <w:rPr>
          <w:rFonts w:ascii="宋体" w:hAnsi="宋体"/>
          <w:sz w:val="24"/>
        </w:rPr>
      </w:pPr>
      <w:r>
        <w:rPr>
          <w:rFonts w:hint="eastAsia" w:ascii="宋体" w:hAnsi="宋体"/>
          <w:sz w:val="24"/>
        </w:rPr>
        <w:t>（五）因设计变更或非乙方原因造成的停电、停水、停气及不可抗力因素影响的，工期相应顺延。</w:t>
      </w:r>
    </w:p>
    <w:p>
      <w:pPr>
        <w:spacing w:line="480" w:lineRule="auto"/>
        <w:rPr>
          <w:rFonts w:ascii="宋体" w:hAnsi="宋体"/>
          <w:b/>
          <w:bCs/>
          <w:sz w:val="24"/>
        </w:rPr>
      </w:pPr>
      <w:r>
        <w:rPr>
          <w:rFonts w:hint="eastAsia" w:ascii="宋体" w:hAnsi="宋体"/>
          <w:b/>
          <w:bCs/>
          <w:sz w:val="24"/>
        </w:rPr>
        <w:t>第五条 工程价款</w:t>
      </w:r>
    </w:p>
    <w:p>
      <w:pPr>
        <w:spacing w:line="480" w:lineRule="auto"/>
        <w:rPr>
          <w:rFonts w:ascii="宋体" w:hAnsi="宋体"/>
          <w:sz w:val="24"/>
        </w:rPr>
      </w:pPr>
      <w:r>
        <w:rPr>
          <w:rFonts w:hint="eastAsia" w:ascii="宋体" w:hAnsi="宋体"/>
          <w:sz w:val="24"/>
        </w:rPr>
        <w:t>（一）本合同总价款</w:t>
      </w:r>
      <w:r>
        <w:rPr>
          <w:rFonts w:hint="eastAsia" w:ascii="宋体" w:hAnsi="宋体"/>
          <w:sz w:val="24"/>
          <w:u w:val="single"/>
        </w:rPr>
        <w:t>/</w:t>
      </w:r>
      <w:r>
        <w:rPr>
          <w:rFonts w:hint="eastAsia" w:ascii="宋体" w:hAnsi="宋体"/>
          <w:sz w:val="24"/>
        </w:rPr>
        <w:t>元(大写：</w:t>
      </w:r>
      <w:r>
        <w:rPr>
          <w:rFonts w:hint="eastAsia" w:ascii="宋体" w:hAnsi="宋体"/>
          <w:sz w:val="24"/>
          <w:u w:val="single"/>
        </w:rPr>
        <w:t>/</w:t>
      </w:r>
      <w:r>
        <w:rPr>
          <w:rFonts w:hint="eastAsia" w:ascii="宋体" w:hAnsi="宋体"/>
          <w:sz w:val="24"/>
        </w:rPr>
        <w:t>，</w:t>
      </w:r>
      <w:r>
        <w:rPr>
          <w:rFonts w:hint="eastAsia" w:ascii="宋体" w:hAnsi="宋体"/>
          <w:sz w:val="24"/>
          <w:u w:val="single"/>
        </w:rPr>
        <w:t>固定总价合同</w:t>
      </w:r>
      <w:r>
        <w:rPr>
          <w:rFonts w:hint="eastAsia" w:ascii="宋体" w:hAnsi="宋体"/>
          <w:sz w:val="24"/>
        </w:rPr>
        <w:t>。（本工程为交钥匙工程）</w:t>
      </w:r>
    </w:p>
    <w:p>
      <w:pPr>
        <w:spacing w:line="480" w:lineRule="auto"/>
        <w:rPr>
          <w:rFonts w:ascii="宋体" w:hAnsi="宋体"/>
          <w:sz w:val="24"/>
        </w:rPr>
      </w:pPr>
      <w:r>
        <w:rPr>
          <w:rFonts w:hint="eastAsia" w:ascii="宋体" w:hAnsi="宋体"/>
          <w:sz w:val="24"/>
        </w:rPr>
        <w:t>（二）未实行合同包干价的，最终价款由六安市中医院监察审计科室根据最新相关文件的规定对实际施工的工程量进行结算；</w:t>
      </w:r>
    </w:p>
    <w:p>
      <w:pPr>
        <w:spacing w:line="480" w:lineRule="auto"/>
        <w:rPr>
          <w:rFonts w:ascii="宋体" w:hAnsi="宋体"/>
          <w:sz w:val="24"/>
        </w:rPr>
      </w:pPr>
      <w:r>
        <w:rPr>
          <w:rFonts w:hint="eastAsia" w:ascii="宋体" w:hAnsi="宋体"/>
          <w:sz w:val="24"/>
        </w:rPr>
        <w:t>（三）总价包干合同不作价款调整，但如遇下列情况，合同总价款应作相应调整，按照第五条第（二）项规定进行结算：</w:t>
      </w:r>
    </w:p>
    <w:p>
      <w:pPr>
        <w:spacing w:line="480" w:lineRule="auto"/>
        <w:ind w:left="210" w:leftChars="100"/>
        <w:rPr>
          <w:rFonts w:ascii="宋体" w:hAnsi="宋体"/>
          <w:sz w:val="24"/>
        </w:rPr>
      </w:pPr>
      <w:r>
        <w:rPr>
          <w:rFonts w:hint="eastAsia" w:ascii="宋体" w:hAnsi="宋体"/>
          <w:sz w:val="24"/>
        </w:rPr>
        <w:t>1、设计发生变更；</w:t>
      </w:r>
    </w:p>
    <w:p>
      <w:pPr>
        <w:spacing w:line="480" w:lineRule="auto"/>
        <w:ind w:left="210" w:leftChars="100"/>
        <w:rPr>
          <w:rFonts w:ascii="宋体" w:hAnsi="宋体"/>
          <w:sz w:val="24"/>
        </w:rPr>
      </w:pPr>
      <w:r>
        <w:rPr>
          <w:rFonts w:hint="eastAsia" w:ascii="宋体" w:hAnsi="宋体"/>
          <w:sz w:val="24"/>
        </w:rPr>
        <w:t>2、在施工中增加或减少了工程项目。</w:t>
      </w:r>
    </w:p>
    <w:p>
      <w:pPr>
        <w:spacing w:line="480" w:lineRule="auto"/>
        <w:rPr>
          <w:rFonts w:ascii="宋体" w:hAnsi="宋体"/>
          <w:sz w:val="24"/>
        </w:rPr>
      </w:pPr>
      <w:r>
        <w:rPr>
          <w:rFonts w:hint="eastAsia" w:ascii="宋体" w:hAnsi="宋体"/>
          <w:sz w:val="24"/>
        </w:rPr>
        <w:t>（三）合同外工程必须由甲乙双方另行签订书面协议进行确定，未经事先书面确认的，甲乙双方一律不予认可。</w:t>
      </w:r>
    </w:p>
    <w:p>
      <w:pPr>
        <w:spacing w:line="480" w:lineRule="auto"/>
        <w:rPr>
          <w:rFonts w:ascii="宋体" w:hAnsi="宋体"/>
          <w:b/>
          <w:bCs/>
          <w:sz w:val="24"/>
        </w:rPr>
      </w:pPr>
      <w:r>
        <w:rPr>
          <w:rFonts w:hint="eastAsia" w:ascii="宋体" w:hAnsi="宋体"/>
          <w:b/>
          <w:bCs/>
          <w:sz w:val="24"/>
        </w:rPr>
        <w:t>第六条 工程质量验收</w:t>
      </w:r>
    </w:p>
    <w:p>
      <w:pPr>
        <w:spacing w:line="480" w:lineRule="auto"/>
        <w:ind w:firstLine="480" w:firstLineChars="200"/>
        <w:rPr>
          <w:rFonts w:ascii="宋体" w:hAnsi="宋体"/>
          <w:sz w:val="24"/>
        </w:rPr>
      </w:pPr>
      <w:r>
        <w:rPr>
          <w:rFonts w:hint="eastAsia" w:ascii="宋体" w:hAnsi="宋体"/>
          <w:sz w:val="24"/>
        </w:rPr>
        <w:t>乙方必须严格按施工图纸、说明文件和国家颁发的有关规范、规程进行施工，并接受甲方的监督检查。乙方应在工程竣工后</w:t>
      </w:r>
      <w:r>
        <w:rPr>
          <w:rFonts w:hint="eastAsia" w:ascii="宋体" w:hAnsi="宋体"/>
          <w:sz w:val="24"/>
          <w:u w:val="single"/>
        </w:rPr>
        <w:t>15</w:t>
      </w:r>
      <w:r>
        <w:rPr>
          <w:rFonts w:hint="eastAsia" w:ascii="宋体" w:hAnsi="宋体"/>
          <w:sz w:val="24"/>
        </w:rPr>
        <w:t>日之内及时通知甲方进行质量验收，质量验收必须达到合格标准。对不合格的工程，乙方应按规范的要求，承担返修工作及费用直到合格为止。</w:t>
      </w:r>
    </w:p>
    <w:p>
      <w:pPr>
        <w:spacing w:line="480" w:lineRule="auto"/>
        <w:rPr>
          <w:rFonts w:ascii="宋体" w:hAnsi="宋体"/>
          <w:b/>
          <w:bCs/>
          <w:sz w:val="24"/>
        </w:rPr>
      </w:pPr>
      <w:r>
        <w:rPr>
          <w:rFonts w:hint="eastAsia" w:ascii="宋体" w:hAnsi="宋体"/>
          <w:b/>
          <w:bCs/>
          <w:sz w:val="24"/>
        </w:rPr>
        <w:t>第七条 工程价款的支付与结算</w:t>
      </w:r>
    </w:p>
    <w:p>
      <w:pPr>
        <w:spacing w:line="480" w:lineRule="auto"/>
        <w:rPr>
          <w:rFonts w:ascii="宋体" w:hAnsi="宋体"/>
          <w:sz w:val="24"/>
        </w:rPr>
      </w:pPr>
      <w:r>
        <w:rPr>
          <w:rFonts w:hint="eastAsia" w:ascii="宋体" w:hAnsi="宋体"/>
          <w:sz w:val="24"/>
        </w:rPr>
        <w:t xml:space="preserve">        工程完工结算需提供甲方现场负责人签字认可的工程验收单。竣工验收合格后，由乙方开具正式完税发票，甲方收到发票后3个月内一次性支付（无息）至工程总价款的97%，余款作为质保金，质量保修金在工程质量保修期全部结束后无异议并扣除因供应商原因造成的质量问题而由招标人或委托他人进行维修的费用后3个月内无息返还剩余质量保修金。</w:t>
      </w:r>
    </w:p>
    <w:p>
      <w:pPr>
        <w:spacing w:line="480" w:lineRule="auto"/>
        <w:rPr>
          <w:rFonts w:ascii="宋体" w:hAnsi="宋体"/>
          <w:b/>
          <w:bCs/>
          <w:sz w:val="24"/>
        </w:rPr>
      </w:pPr>
      <w:r>
        <w:rPr>
          <w:rFonts w:hint="eastAsia" w:ascii="宋体" w:hAnsi="宋体"/>
          <w:b/>
          <w:bCs/>
          <w:sz w:val="24"/>
        </w:rPr>
        <w:t>第八条 安全责任</w:t>
      </w:r>
    </w:p>
    <w:p>
      <w:pPr>
        <w:spacing w:line="480" w:lineRule="auto"/>
        <w:ind w:firstLine="480" w:firstLineChars="200"/>
        <w:rPr>
          <w:rFonts w:ascii="宋体" w:hAnsi="宋体"/>
          <w:sz w:val="24"/>
        </w:rPr>
      </w:pPr>
      <w:r>
        <w:rPr>
          <w:rFonts w:hint="eastAsia" w:ascii="宋体" w:hAnsi="宋体"/>
          <w:sz w:val="24"/>
        </w:rPr>
        <w:t>乙方在施工过程中应严格按照施工程序和施工规范的要求及规定组织施工，加强管理。在施工过程中所造成的一切安全事故及造成的所有经济损失均由乙方自行承担。</w:t>
      </w:r>
    </w:p>
    <w:p>
      <w:pPr>
        <w:spacing w:line="480" w:lineRule="auto"/>
        <w:rPr>
          <w:rFonts w:ascii="宋体" w:hAnsi="宋体"/>
          <w:b/>
          <w:bCs/>
          <w:sz w:val="24"/>
        </w:rPr>
      </w:pPr>
      <w:r>
        <w:rPr>
          <w:rFonts w:hint="eastAsia" w:ascii="宋体" w:hAnsi="宋体"/>
          <w:b/>
          <w:bCs/>
          <w:sz w:val="24"/>
        </w:rPr>
        <w:t>第九条 工程保修</w:t>
      </w:r>
    </w:p>
    <w:p>
      <w:pPr>
        <w:spacing w:line="480" w:lineRule="auto"/>
        <w:ind w:firstLine="480" w:firstLineChars="200"/>
        <w:rPr>
          <w:rFonts w:ascii="宋体" w:hAnsi="宋体"/>
          <w:sz w:val="24"/>
        </w:rPr>
      </w:pPr>
      <w:r>
        <w:rPr>
          <w:rFonts w:hint="eastAsia" w:ascii="宋体" w:hAnsi="宋体"/>
          <w:sz w:val="24"/>
        </w:rPr>
        <w:t>本工程保修范围为施工的全部工程，保修期限为</w:t>
      </w:r>
      <w:r>
        <w:rPr>
          <w:rFonts w:hint="eastAsia" w:ascii="宋体" w:hAnsi="宋体"/>
          <w:color w:val="FF0000"/>
          <w:sz w:val="24"/>
          <w:u w:val="single"/>
        </w:rPr>
        <w:t xml:space="preserve"> 3 </w:t>
      </w:r>
      <w:r>
        <w:rPr>
          <w:rFonts w:hint="eastAsia" w:ascii="宋体" w:hAnsi="宋体"/>
          <w:sz w:val="24"/>
        </w:rPr>
        <w:t>年，在保修期内乙方应在甲方规定的时间内进行工程保修；如乙方未在甲方规定的时间内保修的，甲方有权委托第三方进行维修，由此产生的一切费用由乙方承担。</w:t>
      </w:r>
    </w:p>
    <w:p>
      <w:pPr>
        <w:spacing w:line="480" w:lineRule="auto"/>
        <w:rPr>
          <w:rFonts w:ascii="宋体" w:hAnsi="宋体"/>
          <w:b/>
          <w:bCs/>
          <w:sz w:val="24"/>
        </w:rPr>
      </w:pPr>
      <w:r>
        <w:rPr>
          <w:rFonts w:hint="eastAsia" w:ascii="宋体" w:hAnsi="宋体"/>
          <w:b/>
          <w:bCs/>
          <w:sz w:val="24"/>
        </w:rPr>
        <w:t>第十条 违约情形及违约责任</w:t>
      </w:r>
    </w:p>
    <w:p>
      <w:pPr>
        <w:spacing w:line="480" w:lineRule="auto"/>
        <w:rPr>
          <w:rFonts w:ascii="宋体" w:hAnsi="宋体"/>
          <w:sz w:val="24"/>
        </w:rPr>
      </w:pPr>
      <w:r>
        <w:rPr>
          <w:rFonts w:hint="eastAsia" w:ascii="宋体" w:hAnsi="宋体"/>
          <w:sz w:val="24"/>
        </w:rPr>
        <w:t>（一）违约情形：合同一方违反合同任意一条约定的，均为违约。</w:t>
      </w:r>
    </w:p>
    <w:p>
      <w:pPr>
        <w:spacing w:line="480" w:lineRule="auto"/>
        <w:rPr>
          <w:rFonts w:ascii="宋体" w:hAnsi="宋体"/>
          <w:sz w:val="24"/>
        </w:rPr>
      </w:pPr>
      <w:r>
        <w:rPr>
          <w:rFonts w:hint="eastAsia" w:ascii="宋体" w:hAnsi="宋体"/>
          <w:sz w:val="24"/>
        </w:rPr>
        <w:t>（二）违约责任：</w:t>
      </w:r>
    </w:p>
    <w:p>
      <w:pPr>
        <w:spacing w:line="480" w:lineRule="auto"/>
        <w:ind w:left="210" w:leftChars="100"/>
        <w:rPr>
          <w:rFonts w:ascii="宋体" w:hAnsi="宋体"/>
          <w:sz w:val="24"/>
        </w:rPr>
      </w:pPr>
      <w:r>
        <w:rPr>
          <w:rFonts w:hint="eastAsia" w:ascii="宋体" w:hAnsi="宋体"/>
          <w:sz w:val="24"/>
        </w:rPr>
        <w:t>1、如双方均有违约行为的，各自自行承担相应的违约责任；</w:t>
      </w:r>
    </w:p>
    <w:p>
      <w:pPr>
        <w:spacing w:line="480" w:lineRule="auto"/>
        <w:ind w:left="210" w:leftChars="100"/>
        <w:rPr>
          <w:rFonts w:ascii="宋体" w:hAnsi="宋体"/>
          <w:sz w:val="24"/>
        </w:rPr>
      </w:pPr>
      <w:r>
        <w:rPr>
          <w:rFonts w:hint="eastAsia" w:ascii="宋体" w:hAnsi="宋体"/>
          <w:sz w:val="24"/>
        </w:rPr>
        <w:t>2、任何一方违约，违约方应向守约方赔偿由此造成的损失外，还需支付守约方按合同价款总额</w:t>
      </w:r>
      <w:r>
        <w:rPr>
          <w:rFonts w:hint="eastAsia" w:ascii="宋体" w:hAnsi="宋体"/>
          <w:sz w:val="24"/>
          <w:u w:val="single"/>
        </w:rPr>
        <w:t xml:space="preserve"> 0.5% </w:t>
      </w:r>
      <w:r>
        <w:rPr>
          <w:rFonts w:hint="eastAsia" w:ascii="宋体" w:hAnsi="宋体"/>
          <w:sz w:val="24"/>
        </w:rPr>
        <w:t>的违约金；</w:t>
      </w:r>
    </w:p>
    <w:p>
      <w:pPr>
        <w:spacing w:line="480" w:lineRule="auto"/>
        <w:ind w:left="210" w:leftChars="100"/>
        <w:rPr>
          <w:rFonts w:ascii="宋体" w:hAnsi="宋体"/>
          <w:sz w:val="24"/>
        </w:rPr>
      </w:pPr>
      <w:r>
        <w:rPr>
          <w:rFonts w:hint="eastAsia" w:ascii="宋体" w:hAnsi="宋体"/>
          <w:sz w:val="24"/>
        </w:rPr>
        <w:t>3、一方违约后，另一方要求违约方继续履行合同时，违约方承担上述违约责任后仍应继续履行合同；</w:t>
      </w:r>
    </w:p>
    <w:p>
      <w:pPr>
        <w:spacing w:line="480" w:lineRule="auto"/>
        <w:rPr>
          <w:rFonts w:ascii="宋体" w:hAnsi="宋体"/>
          <w:b/>
          <w:bCs/>
          <w:sz w:val="24"/>
        </w:rPr>
      </w:pPr>
      <w:r>
        <w:rPr>
          <w:rFonts w:hint="eastAsia" w:ascii="宋体" w:hAnsi="宋体"/>
          <w:b/>
          <w:bCs/>
          <w:sz w:val="24"/>
        </w:rPr>
        <w:t>第十一条 合同的变更、终止或解除</w:t>
      </w:r>
    </w:p>
    <w:p>
      <w:pPr>
        <w:spacing w:line="480" w:lineRule="auto"/>
        <w:rPr>
          <w:rFonts w:ascii="宋体" w:hAnsi="宋体"/>
          <w:sz w:val="24"/>
        </w:rPr>
      </w:pPr>
      <w:r>
        <w:rPr>
          <w:rFonts w:hint="eastAsia" w:ascii="宋体" w:hAnsi="宋体"/>
          <w:sz w:val="24"/>
        </w:rPr>
        <w:t>（一）合同的变更：</w:t>
      </w:r>
    </w:p>
    <w:p>
      <w:pPr>
        <w:spacing w:line="480" w:lineRule="auto"/>
        <w:ind w:left="210" w:leftChars="100"/>
        <w:rPr>
          <w:rFonts w:ascii="宋体" w:hAnsi="宋体"/>
          <w:sz w:val="24"/>
        </w:rPr>
      </w:pPr>
      <w:r>
        <w:rPr>
          <w:rFonts w:hint="eastAsia" w:ascii="宋体" w:hAnsi="宋体"/>
          <w:sz w:val="24"/>
        </w:rPr>
        <w:t>1、本合同未尽事宜，双方可进一步协商，签订书面补充协议；</w:t>
      </w:r>
    </w:p>
    <w:p>
      <w:pPr>
        <w:spacing w:line="480" w:lineRule="auto"/>
        <w:ind w:left="210" w:leftChars="100"/>
        <w:rPr>
          <w:rFonts w:ascii="宋体" w:hAnsi="宋体"/>
          <w:sz w:val="24"/>
        </w:rPr>
      </w:pPr>
      <w:r>
        <w:rPr>
          <w:rFonts w:hint="eastAsia" w:ascii="宋体" w:hAnsi="宋体"/>
          <w:sz w:val="24"/>
        </w:rPr>
        <w:t>2、本合同的任何修改、补充须经双方协商一致，签订书面补充协议。 以上补充协议为本合同不可分割的组成部分，与本合同具有同等法律效力。</w:t>
      </w:r>
    </w:p>
    <w:p>
      <w:pPr>
        <w:spacing w:line="480" w:lineRule="auto"/>
        <w:rPr>
          <w:rFonts w:ascii="宋体" w:hAnsi="宋体"/>
          <w:sz w:val="24"/>
        </w:rPr>
      </w:pPr>
      <w:r>
        <w:rPr>
          <w:rFonts w:hint="eastAsia" w:ascii="宋体" w:hAnsi="宋体"/>
          <w:sz w:val="24"/>
        </w:rPr>
        <w:t>（二）合同的解除或终止：</w:t>
      </w:r>
    </w:p>
    <w:p>
      <w:pPr>
        <w:spacing w:line="480" w:lineRule="auto"/>
        <w:ind w:left="210" w:leftChars="100"/>
        <w:rPr>
          <w:rFonts w:ascii="宋体" w:hAnsi="宋体"/>
          <w:sz w:val="24"/>
        </w:rPr>
      </w:pPr>
      <w:r>
        <w:rPr>
          <w:rFonts w:hint="eastAsia" w:ascii="宋体" w:hAnsi="宋体"/>
          <w:sz w:val="24"/>
        </w:rPr>
        <w:t xml:space="preserve">1、任何一方违反本合同约定，经对方提出后不采取弥补措施的或造成本合同不能履行时，守约方有权要求解除本合同； </w:t>
      </w:r>
    </w:p>
    <w:p>
      <w:pPr>
        <w:spacing w:line="480" w:lineRule="auto"/>
        <w:ind w:left="210" w:leftChars="100"/>
        <w:rPr>
          <w:rFonts w:ascii="宋体" w:hAnsi="宋体"/>
          <w:sz w:val="24"/>
        </w:rPr>
      </w:pPr>
      <w:r>
        <w:rPr>
          <w:rFonts w:hint="eastAsia" w:ascii="宋体" w:hAnsi="宋体"/>
          <w:sz w:val="24"/>
        </w:rPr>
        <w:t>2、因国家政策变化而影响本合同履行时，双方协商后均可以解除本合同；</w:t>
      </w:r>
    </w:p>
    <w:p>
      <w:pPr>
        <w:spacing w:line="480" w:lineRule="auto"/>
        <w:ind w:left="210" w:leftChars="100"/>
        <w:rPr>
          <w:rFonts w:ascii="宋体" w:hAnsi="宋体"/>
          <w:sz w:val="24"/>
        </w:rPr>
      </w:pPr>
      <w:r>
        <w:rPr>
          <w:rFonts w:hint="eastAsia" w:ascii="宋体" w:hAnsi="宋体"/>
          <w:sz w:val="24"/>
        </w:rPr>
        <w:t>3、经合同双方协商一致可以解除本合同；</w:t>
      </w:r>
    </w:p>
    <w:p>
      <w:pPr>
        <w:spacing w:line="480" w:lineRule="auto"/>
        <w:ind w:left="210" w:leftChars="100"/>
        <w:rPr>
          <w:rFonts w:ascii="宋体" w:hAnsi="宋体"/>
          <w:sz w:val="24"/>
        </w:rPr>
      </w:pPr>
      <w:r>
        <w:rPr>
          <w:rFonts w:hint="eastAsia" w:ascii="宋体" w:hAnsi="宋体"/>
          <w:sz w:val="24"/>
        </w:rPr>
        <w:t>4、因不可抗力因素致使本合同不能履行时，双方协商后均可以解除本合同。</w:t>
      </w:r>
    </w:p>
    <w:p>
      <w:pPr>
        <w:spacing w:line="480" w:lineRule="auto"/>
        <w:rPr>
          <w:rFonts w:ascii="宋体" w:hAnsi="宋体"/>
          <w:b/>
          <w:bCs/>
          <w:sz w:val="24"/>
        </w:rPr>
      </w:pPr>
      <w:r>
        <w:rPr>
          <w:rFonts w:hint="eastAsia" w:ascii="宋体" w:hAnsi="宋体"/>
          <w:b/>
          <w:bCs/>
          <w:sz w:val="24"/>
        </w:rPr>
        <w:t>第十二条 争议的解决方式</w:t>
      </w:r>
    </w:p>
    <w:p>
      <w:pPr>
        <w:spacing w:line="480" w:lineRule="auto"/>
        <w:ind w:firstLine="480" w:firstLineChars="200"/>
        <w:rPr>
          <w:rFonts w:ascii="宋体" w:hAnsi="宋体"/>
          <w:sz w:val="24"/>
        </w:rPr>
      </w:pPr>
      <w:r>
        <w:rPr>
          <w:rFonts w:hint="eastAsia" w:ascii="宋体" w:hAnsi="宋体"/>
          <w:sz w:val="24"/>
        </w:rPr>
        <w:t>甲乙双方在履行合同过程中发生争议的，双方应协商解决，协商不成的，向合同实际履行地有管辖权的人民法院起诉。</w:t>
      </w:r>
    </w:p>
    <w:p>
      <w:pPr>
        <w:spacing w:line="480" w:lineRule="auto"/>
        <w:rPr>
          <w:rFonts w:ascii="宋体" w:hAnsi="宋体"/>
          <w:b/>
          <w:bCs/>
          <w:sz w:val="24"/>
        </w:rPr>
      </w:pPr>
      <w:r>
        <w:rPr>
          <w:rFonts w:hint="eastAsia" w:ascii="宋体" w:hAnsi="宋体"/>
          <w:b/>
          <w:bCs/>
          <w:sz w:val="24"/>
        </w:rPr>
        <w:t>第十三条 其他</w:t>
      </w:r>
    </w:p>
    <w:p>
      <w:pPr>
        <w:spacing w:line="480" w:lineRule="auto"/>
        <w:ind w:firstLine="480" w:firstLineChars="200"/>
        <w:rPr>
          <w:rFonts w:ascii="宋体" w:hAnsi="宋体"/>
          <w:sz w:val="24"/>
        </w:rPr>
      </w:pPr>
      <w:r>
        <w:rPr>
          <w:rFonts w:hint="eastAsia" w:ascii="宋体" w:hAnsi="宋体"/>
          <w:sz w:val="24"/>
        </w:rPr>
        <w:t>承包方的项目经理、授权签订合同的代理人必须是承包方的正式员工，应在合同签订时提供其工资收入证明、社保等证明其身份的资料。</w:t>
      </w:r>
    </w:p>
    <w:p>
      <w:pPr>
        <w:spacing w:line="480" w:lineRule="auto"/>
        <w:rPr>
          <w:rFonts w:ascii="宋体" w:hAnsi="宋体"/>
          <w:b/>
          <w:bCs/>
          <w:sz w:val="24"/>
        </w:rPr>
      </w:pPr>
      <w:r>
        <w:rPr>
          <w:rFonts w:hint="eastAsia" w:ascii="宋体" w:hAnsi="宋体"/>
          <w:b/>
          <w:bCs/>
          <w:sz w:val="24"/>
        </w:rPr>
        <w:t>第十四条 合同份数及生效</w:t>
      </w:r>
    </w:p>
    <w:p>
      <w:pPr>
        <w:spacing w:line="480" w:lineRule="auto"/>
        <w:ind w:firstLine="480" w:firstLineChars="200"/>
        <w:rPr>
          <w:rFonts w:ascii="宋体" w:hAnsi="宋体"/>
          <w:sz w:val="24"/>
        </w:rPr>
      </w:pPr>
      <w:r>
        <w:rPr>
          <w:rFonts w:hint="eastAsia" w:ascii="宋体" w:hAnsi="宋体"/>
          <w:sz w:val="24"/>
        </w:rPr>
        <w:t>本合同一式</w:t>
      </w:r>
      <w:r>
        <w:rPr>
          <w:rFonts w:hint="eastAsia" w:ascii="宋体" w:hAnsi="宋体"/>
          <w:sz w:val="24"/>
          <w:u w:val="single"/>
        </w:rPr>
        <w:t>八</w:t>
      </w:r>
      <w:r>
        <w:rPr>
          <w:rFonts w:hint="eastAsia" w:ascii="宋体" w:hAnsi="宋体"/>
          <w:sz w:val="24"/>
        </w:rPr>
        <w:t>份，甲方执</w:t>
      </w:r>
      <w:r>
        <w:rPr>
          <w:rFonts w:hint="eastAsia" w:ascii="宋体" w:hAnsi="宋体"/>
          <w:sz w:val="24"/>
          <w:u w:val="single"/>
        </w:rPr>
        <w:t>六</w:t>
      </w:r>
      <w:r>
        <w:rPr>
          <w:rFonts w:hint="eastAsia" w:ascii="宋体" w:hAnsi="宋体"/>
          <w:sz w:val="24"/>
        </w:rPr>
        <w:t>份，乙方执</w:t>
      </w:r>
      <w:r>
        <w:rPr>
          <w:rFonts w:hint="eastAsia" w:ascii="宋体" w:hAnsi="宋体"/>
          <w:sz w:val="24"/>
          <w:u w:val="single"/>
        </w:rPr>
        <w:t>二</w:t>
      </w:r>
      <w:r>
        <w:rPr>
          <w:rFonts w:hint="eastAsia" w:ascii="宋体" w:hAnsi="宋体"/>
          <w:sz w:val="24"/>
        </w:rPr>
        <w:t>份，均具有同等法律效力；自双方代表签字并加盖印章之日起生效，双方均履行完各自的义务后即自行终止。</w:t>
      </w:r>
    </w:p>
    <w:p>
      <w:pPr>
        <w:spacing w:line="480" w:lineRule="auto"/>
        <w:rPr>
          <w:rFonts w:ascii="宋体" w:hAnsi="宋体"/>
          <w:b/>
          <w:bCs/>
          <w:sz w:val="24"/>
        </w:rPr>
      </w:pPr>
      <w:r>
        <w:rPr>
          <w:rFonts w:hint="eastAsia" w:ascii="宋体" w:hAnsi="宋体"/>
          <w:b/>
          <w:bCs/>
          <w:sz w:val="24"/>
        </w:rPr>
        <w:t>第十五条 补充条款</w:t>
      </w:r>
    </w:p>
    <w:tbl>
      <w:tblPr>
        <w:tblStyle w:val="4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51"/>
        <w:gridCol w:w="41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9" w:hRule="atLeast"/>
        </w:trPr>
        <w:tc>
          <w:tcPr>
            <w:tcW w:w="4151" w:type="dxa"/>
          </w:tcPr>
          <w:p>
            <w:pPr>
              <w:spacing w:before="120" w:beforeLines="50" w:line="480" w:lineRule="auto"/>
              <w:rPr>
                <w:rFonts w:ascii="宋体" w:hAnsi="宋体"/>
                <w:szCs w:val="21"/>
              </w:rPr>
            </w:pPr>
            <w:r>
              <w:rPr>
                <w:rFonts w:hint="eastAsia" w:ascii="宋体" w:hAnsi="宋体"/>
                <w:szCs w:val="21"/>
              </w:rPr>
              <w:t>甲方（盖章）：六安市中医院</w:t>
            </w:r>
          </w:p>
          <w:p>
            <w:pPr>
              <w:spacing w:before="120" w:beforeLines="50" w:line="480" w:lineRule="auto"/>
              <w:rPr>
                <w:rFonts w:ascii="宋体" w:hAnsi="宋体"/>
                <w:szCs w:val="21"/>
              </w:rPr>
            </w:pPr>
          </w:p>
          <w:p>
            <w:pPr>
              <w:spacing w:before="120" w:beforeLines="50" w:line="480" w:lineRule="auto"/>
              <w:rPr>
                <w:rFonts w:ascii="宋体" w:hAnsi="宋体"/>
                <w:szCs w:val="21"/>
              </w:rPr>
            </w:pPr>
            <w:r>
              <w:rPr>
                <w:rFonts w:hint="eastAsia" w:ascii="宋体" w:hAnsi="宋体"/>
                <w:szCs w:val="21"/>
              </w:rPr>
              <w:t xml:space="preserve">法定代表人： </w:t>
            </w:r>
          </w:p>
          <w:p>
            <w:pPr>
              <w:spacing w:before="120" w:beforeLines="50" w:line="480" w:lineRule="auto"/>
              <w:rPr>
                <w:rFonts w:ascii="宋体" w:hAnsi="宋体"/>
                <w:szCs w:val="21"/>
              </w:rPr>
            </w:pPr>
            <w:r>
              <w:rPr>
                <w:rFonts w:hint="eastAsia" w:ascii="宋体" w:hAnsi="宋体"/>
                <w:szCs w:val="21"/>
              </w:rPr>
              <w:t>委托代理人:</w:t>
            </w:r>
          </w:p>
          <w:p>
            <w:pPr>
              <w:spacing w:before="120" w:beforeLines="50" w:line="480" w:lineRule="auto"/>
              <w:rPr>
                <w:rFonts w:ascii="宋体" w:hAnsi="宋体"/>
                <w:szCs w:val="21"/>
              </w:rPr>
            </w:pPr>
          </w:p>
          <w:p>
            <w:pPr>
              <w:spacing w:line="480" w:lineRule="auto"/>
              <w:jc w:val="left"/>
              <w:rPr>
                <w:rFonts w:ascii="宋体" w:hAnsi="宋体"/>
                <w:szCs w:val="21"/>
              </w:rPr>
            </w:pPr>
            <w:r>
              <w:rPr>
                <w:rFonts w:hint="eastAsia" w:ascii="宋体" w:hAnsi="宋体"/>
                <w:szCs w:val="21"/>
              </w:rPr>
              <w:t>单位地址:六安市人民路76号</w:t>
            </w:r>
          </w:p>
          <w:p>
            <w:pPr>
              <w:spacing w:line="480" w:lineRule="auto"/>
              <w:jc w:val="left"/>
              <w:rPr>
                <w:rFonts w:ascii="宋体" w:hAnsi="宋体"/>
                <w:szCs w:val="21"/>
              </w:rPr>
            </w:pPr>
            <w:r>
              <w:rPr>
                <w:rFonts w:hint="eastAsia" w:ascii="宋体" w:hAnsi="宋体"/>
                <w:szCs w:val="21"/>
              </w:rPr>
              <w:t>联系电话：0564-3597279</w:t>
            </w:r>
          </w:p>
          <w:p>
            <w:pPr>
              <w:spacing w:line="480" w:lineRule="auto"/>
              <w:jc w:val="left"/>
              <w:rPr>
                <w:rFonts w:ascii="宋体" w:hAnsi="宋体"/>
                <w:szCs w:val="21"/>
              </w:rPr>
            </w:pPr>
            <w:r>
              <w:rPr>
                <w:rFonts w:hint="eastAsia" w:ascii="宋体" w:hAnsi="宋体"/>
                <w:szCs w:val="21"/>
              </w:rPr>
              <w:t>开户行：建行六安政务区支行</w:t>
            </w:r>
          </w:p>
          <w:p>
            <w:pPr>
              <w:spacing w:line="480" w:lineRule="auto"/>
              <w:jc w:val="left"/>
              <w:rPr>
                <w:rFonts w:ascii="宋体" w:hAnsi="宋体"/>
                <w:szCs w:val="21"/>
              </w:rPr>
            </w:pPr>
            <w:r>
              <w:rPr>
                <w:rFonts w:hint="eastAsia" w:ascii="宋体" w:hAnsi="宋体"/>
                <w:szCs w:val="21"/>
              </w:rPr>
              <w:t>银行账号：34001742208050570162</w:t>
            </w:r>
          </w:p>
          <w:p>
            <w:pPr>
              <w:spacing w:line="480" w:lineRule="auto"/>
              <w:jc w:val="left"/>
              <w:rPr>
                <w:rFonts w:ascii="宋体" w:hAnsi="宋体"/>
                <w:szCs w:val="21"/>
              </w:rPr>
            </w:pPr>
            <w:r>
              <w:rPr>
                <w:rFonts w:hint="eastAsia" w:ascii="宋体" w:hAnsi="宋体"/>
                <w:szCs w:val="21"/>
              </w:rPr>
              <w:t>识别号：12341400486188778K</w:t>
            </w:r>
          </w:p>
          <w:p>
            <w:pPr>
              <w:spacing w:line="480" w:lineRule="auto"/>
              <w:jc w:val="left"/>
              <w:rPr>
                <w:rFonts w:ascii="宋体" w:hAnsi="宋体"/>
                <w:szCs w:val="21"/>
              </w:rPr>
            </w:pPr>
            <w:r>
              <w:rPr>
                <w:rFonts w:hint="eastAsia" w:ascii="宋体" w:hAnsi="宋体"/>
                <w:szCs w:val="21"/>
              </w:rPr>
              <w:t xml:space="preserve">                  年    月    日</w:t>
            </w:r>
          </w:p>
        </w:tc>
        <w:tc>
          <w:tcPr>
            <w:tcW w:w="4151" w:type="dxa"/>
          </w:tcPr>
          <w:p>
            <w:pPr>
              <w:tabs>
                <w:tab w:val="left" w:pos="1198"/>
              </w:tabs>
              <w:spacing w:before="120" w:beforeLines="50" w:line="480" w:lineRule="auto"/>
              <w:jc w:val="left"/>
              <w:rPr>
                <w:rFonts w:ascii="宋体" w:hAnsi="宋体" w:cs="宋体"/>
                <w:szCs w:val="21"/>
              </w:rPr>
            </w:pPr>
            <w:r>
              <w:rPr>
                <w:rFonts w:hint="eastAsia" w:ascii="宋体" w:hAnsi="宋体"/>
                <w:szCs w:val="21"/>
              </w:rPr>
              <w:t>乙方（盖章）：</w:t>
            </w:r>
          </w:p>
          <w:p>
            <w:pPr>
              <w:tabs>
                <w:tab w:val="left" w:pos="1198"/>
              </w:tabs>
              <w:spacing w:before="120" w:beforeLines="50" w:line="480" w:lineRule="auto"/>
              <w:jc w:val="left"/>
              <w:rPr>
                <w:rFonts w:ascii="宋体" w:hAnsi="宋体" w:cs="宋体"/>
                <w:szCs w:val="21"/>
              </w:rPr>
            </w:pPr>
            <w:r>
              <w:rPr>
                <w:rFonts w:ascii="宋体" w:hAnsi="宋体" w:cs="宋体"/>
                <w:szCs w:val="21"/>
              </w:rPr>
              <w:t xml:space="preserve"> </w:t>
            </w:r>
          </w:p>
          <w:p>
            <w:pPr>
              <w:spacing w:before="120" w:beforeLines="50" w:line="480" w:lineRule="auto"/>
              <w:rPr>
                <w:rFonts w:ascii="宋体" w:hAnsi="宋体"/>
                <w:szCs w:val="21"/>
              </w:rPr>
            </w:pPr>
            <w:r>
              <w:rPr>
                <w:rFonts w:hint="eastAsia" w:ascii="宋体" w:hAnsi="宋体"/>
                <w:szCs w:val="21"/>
              </w:rPr>
              <w:t>法定代表人：</w:t>
            </w:r>
          </w:p>
          <w:p>
            <w:pPr>
              <w:spacing w:before="120" w:beforeLines="50" w:after="120" w:afterLines="50" w:line="480" w:lineRule="auto"/>
              <w:rPr>
                <w:rFonts w:ascii="宋体" w:hAnsi="宋体"/>
                <w:szCs w:val="21"/>
              </w:rPr>
            </w:pPr>
            <w:r>
              <w:rPr>
                <w:rFonts w:hint="eastAsia" w:ascii="宋体" w:hAnsi="宋体"/>
                <w:szCs w:val="21"/>
              </w:rPr>
              <w:t>委托代理人：</w:t>
            </w:r>
          </w:p>
          <w:p>
            <w:pPr>
              <w:spacing w:line="480" w:lineRule="auto"/>
              <w:rPr>
                <w:rFonts w:ascii="宋体" w:hAnsi="宋体"/>
                <w:szCs w:val="21"/>
              </w:rPr>
            </w:pPr>
          </w:p>
          <w:p>
            <w:pPr>
              <w:spacing w:line="480" w:lineRule="auto"/>
              <w:jc w:val="left"/>
              <w:rPr>
                <w:rFonts w:ascii="宋体" w:hAnsi="宋体"/>
                <w:szCs w:val="21"/>
              </w:rPr>
            </w:pPr>
            <w:r>
              <w:rPr>
                <w:rFonts w:hint="eastAsia" w:ascii="宋体" w:hAnsi="宋体"/>
                <w:szCs w:val="21"/>
              </w:rPr>
              <w:t>单位地址：</w:t>
            </w:r>
            <w:r>
              <w:rPr>
                <w:rFonts w:ascii="宋体" w:hAnsi="宋体"/>
                <w:szCs w:val="21"/>
              </w:rPr>
              <w:t xml:space="preserve"> </w:t>
            </w:r>
          </w:p>
          <w:p>
            <w:pPr>
              <w:spacing w:line="480" w:lineRule="auto"/>
              <w:jc w:val="left"/>
              <w:rPr>
                <w:rFonts w:ascii="宋体" w:hAnsi="宋体"/>
                <w:szCs w:val="21"/>
              </w:rPr>
            </w:pPr>
            <w:r>
              <w:rPr>
                <w:rFonts w:hint="eastAsia" w:ascii="宋体" w:hAnsi="宋体"/>
                <w:szCs w:val="21"/>
              </w:rPr>
              <w:t xml:space="preserve">联系电话： </w:t>
            </w:r>
          </w:p>
          <w:p>
            <w:pPr>
              <w:spacing w:line="480" w:lineRule="auto"/>
              <w:jc w:val="left"/>
              <w:rPr>
                <w:rFonts w:ascii="宋体" w:hAnsi="宋体"/>
                <w:szCs w:val="21"/>
              </w:rPr>
            </w:pPr>
            <w:r>
              <w:rPr>
                <w:rFonts w:hint="eastAsia" w:ascii="宋体" w:hAnsi="宋体"/>
                <w:szCs w:val="21"/>
              </w:rPr>
              <w:t>开户行：</w:t>
            </w:r>
          </w:p>
          <w:p>
            <w:pPr>
              <w:spacing w:line="480" w:lineRule="auto"/>
              <w:jc w:val="left"/>
              <w:rPr>
                <w:rFonts w:ascii="宋体" w:hAnsi="宋体"/>
                <w:szCs w:val="21"/>
              </w:rPr>
            </w:pPr>
            <w:r>
              <w:rPr>
                <w:rFonts w:hint="eastAsia" w:ascii="宋体" w:hAnsi="宋体"/>
                <w:szCs w:val="21"/>
              </w:rPr>
              <w:t>银行账号：</w:t>
            </w:r>
          </w:p>
          <w:p>
            <w:pPr>
              <w:spacing w:line="480" w:lineRule="auto"/>
              <w:jc w:val="left"/>
              <w:rPr>
                <w:rFonts w:ascii="宋体" w:hAnsi="宋体"/>
                <w:szCs w:val="21"/>
              </w:rPr>
            </w:pPr>
            <w:r>
              <w:rPr>
                <w:rFonts w:hint="eastAsia" w:ascii="宋体" w:hAnsi="宋体"/>
                <w:szCs w:val="21"/>
              </w:rPr>
              <w:t>识别号：</w:t>
            </w:r>
          </w:p>
          <w:p>
            <w:pPr>
              <w:spacing w:line="480" w:lineRule="auto"/>
              <w:jc w:val="right"/>
              <w:rPr>
                <w:rFonts w:ascii="宋体" w:hAnsi="宋体"/>
                <w:szCs w:val="21"/>
              </w:rPr>
            </w:pPr>
            <w:r>
              <w:rPr>
                <w:rFonts w:hint="eastAsia" w:ascii="宋体" w:hAnsi="宋体"/>
                <w:szCs w:val="21"/>
              </w:rPr>
              <w:t>年    月    日</w:t>
            </w:r>
          </w:p>
        </w:tc>
      </w:tr>
    </w:tbl>
    <w:p>
      <w:pPr>
        <w:pStyle w:val="2"/>
        <w:rPr>
          <w:rFonts w:ascii="宋体" w:hAnsi="宋体" w:eastAsia="宋体"/>
          <w:color w:val="000000"/>
        </w:rPr>
      </w:pPr>
      <w:r>
        <w:rPr>
          <w:rFonts w:ascii="宋体" w:hAnsi="宋体" w:eastAsia="宋体"/>
          <w:color w:val="000000"/>
          <w:szCs w:val="28"/>
        </w:rPr>
        <w:br w:type="page"/>
      </w:r>
      <w:r>
        <w:rPr>
          <w:rFonts w:hint="eastAsia" w:ascii="宋体" w:hAnsi="宋体" w:eastAsia="宋体"/>
          <w:color w:val="000000"/>
          <w:szCs w:val="28"/>
        </w:rPr>
        <w:t>五</w:t>
      </w:r>
      <w:r>
        <w:rPr>
          <w:rFonts w:ascii="宋体" w:hAnsi="宋体" w:eastAsia="宋体"/>
          <w:color w:val="000000"/>
          <w:szCs w:val="28"/>
        </w:rPr>
        <w:t>、</w:t>
      </w:r>
      <w:r>
        <w:rPr>
          <w:rFonts w:hint="eastAsia" w:ascii="宋体" w:hAnsi="宋体" w:eastAsia="宋体"/>
          <w:color w:val="000000"/>
        </w:rPr>
        <w:t>响应文件格式</w:t>
      </w:r>
      <w:bookmarkEnd w:id="132"/>
    </w:p>
    <w:p>
      <w:pPr>
        <w:spacing w:line="400" w:lineRule="exact"/>
        <w:rPr>
          <w:rFonts w:ascii="宋体" w:hAnsi="宋体"/>
          <w:color w:val="000000"/>
        </w:rPr>
      </w:pPr>
    </w:p>
    <w:p>
      <w:pPr>
        <w:jc w:val="center"/>
        <w:rPr>
          <w:rFonts w:ascii="宋体" w:hAnsi="宋体" w:cs="仿宋_GB2312"/>
          <w:bCs/>
          <w:color w:val="000000"/>
          <w:kern w:val="0"/>
          <w:sz w:val="96"/>
          <w:szCs w:val="52"/>
        </w:rPr>
      </w:pPr>
      <w:r>
        <w:rPr>
          <w:rFonts w:hint="eastAsia" w:ascii="宋体" w:hAnsi="宋体" w:cs="仿宋_GB2312"/>
          <w:bCs/>
          <w:color w:val="000000"/>
          <w:kern w:val="0"/>
          <w:sz w:val="96"/>
          <w:szCs w:val="52"/>
        </w:rPr>
        <w:t>响 应 文 件</w:t>
      </w:r>
    </w:p>
    <w:p>
      <w:pPr>
        <w:ind w:firstLine="1084" w:firstLineChars="600"/>
        <w:jc w:val="left"/>
        <w:rPr>
          <w:rFonts w:ascii="宋体" w:hAnsi="宋体" w:cs="仿宋_GB2312"/>
          <w:b/>
          <w:color w:val="000000"/>
          <w:kern w:val="0"/>
          <w:sz w:val="18"/>
          <w:szCs w:val="18"/>
        </w:rPr>
      </w:pPr>
    </w:p>
    <w:p>
      <w:pPr>
        <w:ind w:firstLine="1084" w:firstLineChars="600"/>
        <w:jc w:val="left"/>
        <w:rPr>
          <w:rFonts w:ascii="宋体" w:hAnsi="宋体" w:cs="仿宋_GB2312"/>
          <w:b/>
          <w:color w:val="000000"/>
          <w:kern w:val="0"/>
          <w:sz w:val="18"/>
          <w:szCs w:val="18"/>
        </w:rPr>
      </w:pPr>
    </w:p>
    <w:p>
      <w:pPr>
        <w:ind w:firstLine="2279" w:firstLineChars="946"/>
        <w:jc w:val="center"/>
        <w:rPr>
          <w:rFonts w:ascii="宋体" w:hAnsi="宋体" w:cs="仿宋_GB2312"/>
          <w:b/>
          <w:color w:val="000000"/>
          <w:kern w:val="0"/>
          <w:sz w:val="24"/>
        </w:rPr>
      </w:pPr>
    </w:p>
    <w:p>
      <w:pPr>
        <w:wordWrap w:val="0"/>
        <w:ind w:firstLine="1850" w:firstLineChars="768"/>
        <w:rPr>
          <w:rFonts w:ascii="宋体" w:hAnsi="宋体" w:cs="仿宋_GB2312"/>
          <w:color w:val="000000"/>
          <w:kern w:val="0"/>
          <w:sz w:val="24"/>
        </w:rPr>
      </w:pPr>
      <w:r>
        <w:rPr>
          <w:rFonts w:hint="eastAsia" w:ascii="宋体" w:hAnsi="宋体" w:cs="仿宋_GB2312"/>
          <w:b/>
          <w:color w:val="000000"/>
          <w:kern w:val="0"/>
          <w:sz w:val="24"/>
        </w:rPr>
        <w:t xml:space="preserve">        </w:t>
      </w:r>
      <w:bookmarkStart w:id="133" w:name="OLE_LINK31"/>
      <w:r>
        <w:rPr>
          <w:rFonts w:hint="eastAsia" w:ascii="宋体" w:hAnsi="宋体" w:cs="仿宋_GB2312"/>
          <w:b/>
          <w:color w:val="000000"/>
          <w:kern w:val="0"/>
          <w:sz w:val="24"/>
        </w:rPr>
        <w:t xml:space="preserve"> 项目编号：</w:t>
      </w:r>
      <w:bookmarkStart w:id="134" w:name="OLE_LINK30"/>
      <w:bookmarkEnd w:id="134"/>
      <w:r>
        <w:rPr>
          <w:rFonts w:hint="eastAsia" w:ascii="宋体" w:hAnsi="宋体" w:cs="仿宋_GB2312"/>
          <w:b/>
          <w:color w:val="000000"/>
          <w:kern w:val="0"/>
          <w:sz w:val="24"/>
          <w:u w:val="single"/>
        </w:rPr>
        <w:t xml:space="preserve">                  </w:t>
      </w:r>
    </w:p>
    <w:p>
      <w:pPr>
        <w:wordWrap w:val="0"/>
        <w:ind w:firstLine="1850" w:firstLineChars="768"/>
        <w:rPr>
          <w:rFonts w:ascii="宋体" w:hAnsi="宋体" w:cs="仿宋_GB2312"/>
          <w:b/>
          <w:color w:val="000000"/>
          <w:kern w:val="0"/>
          <w:sz w:val="24"/>
        </w:rPr>
      </w:pPr>
      <w:r>
        <w:rPr>
          <w:rFonts w:hint="eastAsia" w:ascii="宋体" w:hAnsi="宋体" w:cs="仿宋_GB2312"/>
          <w:b/>
          <w:color w:val="000000"/>
          <w:kern w:val="0"/>
          <w:sz w:val="24"/>
        </w:rPr>
        <w:t xml:space="preserve">        </w:t>
      </w:r>
    </w:p>
    <w:p>
      <w:pPr>
        <w:jc w:val="left"/>
        <w:rPr>
          <w:rFonts w:ascii="宋体" w:hAnsi="宋体" w:cs="仿宋_GB2312"/>
          <w:b/>
          <w:color w:val="000000"/>
          <w:kern w:val="0"/>
          <w:sz w:val="30"/>
          <w:szCs w:val="22"/>
        </w:rPr>
      </w:pPr>
    </w:p>
    <w:p>
      <w:pPr>
        <w:jc w:val="left"/>
        <w:rPr>
          <w:rFonts w:ascii="宋体" w:hAnsi="宋体" w:cs="仿宋_GB2312"/>
          <w:b/>
          <w:color w:val="000000"/>
          <w:kern w:val="0"/>
          <w:sz w:val="30"/>
          <w:szCs w:val="22"/>
        </w:rPr>
      </w:pPr>
    </w:p>
    <w:p>
      <w:pPr>
        <w:jc w:val="left"/>
        <w:rPr>
          <w:rFonts w:ascii="宋体" w:hAnsi="宋体" w:cs="仿宋_GB2312"/>
          <w:b/>
          <w:color w:val="000000"/>
          <w:kern w:val="0"/>
          <w:sz w:val="30"/>
          <w:szCs w:val="22"/>
        </w:rPr>
      </w:pPr>
    </w:p>
    <w:p>
      <w:pPr>
        <w:jc w:val="left"/>
        <w:rPr>
          <w:rFonts w:ascii="宋体" w:hAnsi="宋体" w:cs="仿宋_GB2312"/>
          <w:b/>
          <w:color w:val="000000"/>
          <w:kern w:val="0"/>
          <w:sz w:val="30"/>
          <w:szCs w:val="22"/>
        </w:rPr>
      </w:pPr>
    </w:p>
    <w:p>
      <w:pPr>
        <w:jc w:val="left"/>
        <w:rPr>
          <w:rFonts w:ascii="宋体" w:hAnsi="宋体" w:cs="仿宋_GB2312"/>
          <w:b/>
          <w:color w:val="000000"/>
          <w:kern w:val="0"/>
          <w:sz w:val="30"/>
          <w:szCs w:val="22"/>
        </w:rPr>
      </w:pPr>
    </w:p>
    <w:p>
      <w:pPr>
        <w:jc w:val="left"/>
        <w:rPr>
          <w:rFonts w:ascii="宋体" w:hAnsi="宋体" w:cs="仿宋_GB2312"/>
          <w:b/>
          <w:color w:val="000000"/>
          <w:kern w:val="0"/>
          <w:sz w:val="30"/>
          <w:szCs w:val="22"/>
        </w:rPr>
      </w:pPr>
    </w:p>
    <w:p>
      <w:pPr>
        <w:jc w:val="left"/>
        <w:rPr>
          <w:rFonts w:ascii="宋体" w:hAnsi="宋体" w:cs="仿宋_GB2312"/>
          <w:color w:val="000000"/>
          <w:kern w:val="0"/>
          <w:sz w:val="30"/>
          <w:szCs w:val="22"/>
        </w:rPr>
      </w:pPr>
    </w:p>
    <w:p>
      <w:pPr>
        <w:ind w:firstLine="1200" w:firstLineChars="400"/>
        <w:jc w:val="left"/>
        <w:rPr>
          <w:rFonts w:ascii="宋体" w:hAnsi="宋体" w:cs="仿宋_GB2312"/>
          <w:color w:val="000000"/>
          <w:kern w:val="0"/>
          <w:sz w:val="30"/>
          <w:szCs w:val="36"/>
        </w:rPr>
      </w:pPr>
    </w:p>
    <w:p>
      <w:pPr>
        <w:wordWrap w:val="0"/>
        <w:ind w:firstLine="1200" w:firstLineChars="400"/>
        <w:jc w:val="left"/>
        <w:rPr>
          <w:rFonts w:ascii="宋体" w:hAnsi="宋体" w:cs="仿宋_GB2312"/>
          <w:color w:val="000000"/>
          <w:kern w:val="0"/>
          <w:sz w:val="30"/>
          <w:szCs w:val="36"/>
          <w:u w:val="single"/>
        </w:rPr>
      </w:pPr>
      <w:r>
        <w:rPr>
          <w:rFonts w:hint="eastAsia" w:ascii="宋体" w:hAnsi="宋体" w:cs="仿宋_GB2312"/>
          <w:color w:val="000000"/>
          <w:kern w:val="0"/>
          <w:sz w:val="30"/>
          <w:szCs w:val="36"/>
        </w:rPr>
        <w:t>工程名称：</w:t>
      </w:r>
      <w:bookmarkStart w:id="135" w:name="OLE_LINK28"/>
      <w:bookmarkStart w:id="136" w:name="OLE_LINK29"/>
      <w:r>
        <w:rPr>
          <w:rFonts w:hint="eastAsia" w:ascii="宋体" w:hAnsi="宋体" w:cs="仿宋_GB2312"/>
          <w:color w:val="000000"/>
          <w:kern w:val="0"/>
          <w:sz w:val="30"/>
          <w:szCs w:val="36"/>
          <w:u w:val="single"/>
        </w:rPr>
        <w:t xml:space="preserve">                 技术标   </w:t>
      </w:r>
      <w:bookmarkEnd w:id="135"/>
      <w:bookmarkEnd w:id="136"/>
      <w:r>
        <w:rPr>
          <w:rFonts w:hint="eastAsia" w:ascii="宋体" w:hAnsi="宋体" w:cs="仿宋_GB2312"/>
          <w:color w:val="000000"/>
          <w:kern w:val="0"/>
          <w:sz w:val="30"/>
          <w:szCs w:val="36"/>
          <w:u w:val="single"/>
        </w:rPr>
        <w:t xml:space="preserve"> </w:t>
      </w:r>
    </w:p>
    <w:p>
      <w:pPr>
        <w:wordWrap w:val="0"/>
        <w:ind w:firstLine="1200" w:firstLineChars="400"/>
        <w:jc w:val="left"/>
        <w:rPr>
          <w:rFonts w:ascii="宋体" w:hAnsi="宋体" w:cs="仿宋_GB2312"/>
          <w:color w:val="000000"/>
          <w:kern w:val="0"/>
          <w:sz w:val="30"/>
          <w:szCs w:val="36"/>
          <w:u w:val="single" w:color="000000"/>
        </w:rPr>
      </w:pPr>
      <w:r>
        <w:rPr>
          <w:rFonts w:hint="eastAsia" w:ascii="宋体" w:hAnsi="宋体" w:cs="仿宋_GB2312"/>
          <w:color w:val="000000"/>
          <w:kern w:val="0"/>
          <w:sz w:val="30"/>
          <w:szCs w:val="36"/>
        </w:rPr>
        <w:t>投 标 人：</w:t>
      </w:r>
      <w:r>
        <w:rPr>
          <w:rFonts w:hint="eastAsia" w:ascii="宋体" w:hAnsi="宋体" w:cs="仿宋_GB2312"/>
          <w:color w:val="000000"/>
          <w:kern w:val="0"/>
          <w:sz w:val="30"/>
          <w:szCs w:val="36"/>
          <w:u w:val="single"/>
        </w:rPr>
        <w:t xml:space="preserve">           （盖章）           </w:t>
      </w:r>
    </w:p>
    <w:p>
      <w:pPr>
        <w:wordWrap w:val="0"/>
        <w:ind w:firstLine="1200" w:firstLineChars="400"/>
        <w:jc w:val="left"/>
        <w:rPr>
          <w:rFonts w:ascii="宋体" w:hAnsi="宋体" w:cs="仿宋_GB2312"/>
          <w:color w:val="000000"/>
          <w:kern w:val="0"/>
          <w:sz w:val="30"/>
          <w:szCs w:val="36"/>
          <w:u w:val="single"/>
        </w:rPr>
      </w:pPr>
      <w:r>
        <w:rPr>
          <w:rFonts w:hint="eastAsia" w:ascii="宋体" w:hAnsi="宋体" w:cs="仿宋_GB2312"/>
          <w:color w:val="000000"/>
          <w:kern w:val="0"/>
          <w:sz w:val="30"/>
          <w:szCs w:val="36"/>
        </w:rPr>
        <w:t>法定代表人或委托代理人:</w:t>
      </w:r>
      <w:r>
        <w:rPr>
          <w:rFonts w:hint="eastAsia" w:ascii="宋体" w:hAnsi="宋体" w:cs="仿宋_GB2312"/>
          <w:color w:val="000000"/>
          <w:kern w:val="0"/>
          <w:sz w:val="30"/>
          <w:szCs w:val="36"/>
          <w:u w:val="single"/>
        </w:rPr>
        <w:t xml:space="preserve">   （签字或盖章） </w:t>
      </w:r>
    </w:p>
    <w:p>
      <w:pPr>
        <w:jc w:val="center"/>
        <w:rPr>
          <w:rFonts w:ascii="宋体" w:hAnsi="宋体" w:cs="仿宋_GB2312"/>
          <w:color w:val="000000"/>
          <w:kern w:val="0"/>
          <w:sz w:val="30"/>
          <w:szCs w:val="22"/>
        </w:rPr>
      </w:pPr>
      <w:r>
        <w:rPr>
          <w:rFonts w:hint="eastAsia" w:ascii="宋体" w:hAnsi="宋体" w:cs="仿宋_GB2312"/>
          <w:color w:val="000000"/>
          <w:kern w:val="0"/>
          <w:sz w:val="30"/>
          <w:szCs w:val="22"/>
        </w:rPr>
        <w:t xml:space="preserve">  </w:t>
      </w:r>
    </w:p>
    <w:p>
      <w:pPr>
        <w:jc w:val="center"/>
        <w:rPr>
          <w:rFonts w:ascii="宋体" w:hAnsi="宋体" w:cs="仿宋_GB2312"/>
          <w:color w:val="000000"/>
          <w:kern w:val="0"/>
          <w:sz w:val="30"/>
          <w:szCs w:val="22"/>
        </w:rPr>
      </w:pPr>
      <w:r>
        <w:rPr>
          <w:rFonts w:hint="eastAsia" w:ascii="宋体" w:hAnsi="宋体" w:cs="仿宋_GB2312"/>
          <w:color w:val="000000"/>
          <w:kern w:val="0"/>
          <w:sz w:val="30"/>
          <w:szCs w:val="22"/>
          <w:u w:val="single"/>
        </w:rPr>
        <w:t xml:space="preserve">     </w:t>
      </w:r>
      <w:r>
        <w:rPr>
          <w:rFonts w:hint="eastAsia" w:ascii="宋体" w:hAnsi="宋体" w:cs="仿宋_GB2312"/>
          <w:color w:val="000000"/>
          <w:kern w:val="0"/>
          <w:sz w:val="30"/>
          <w:szCs w:val="22"/>
        </w:rPr>
        <w:t>年</w:t>
      </w:r>
      <w:r>
        <w:rPr>
          <w:rFonts w:hint="eastAsia" w:ascii="宋体" w:hAnsi="宋体" w:cs="仿宋_GB2312"/>
          <w:color w:val="000000"/>
          <w:kern w:val="0"/>
          <w:sz w:val="30"/>
          <w:szCs w:val="22"/>
          <w:u w:val="single"/>
        </w:rPr>
        <w:t xml:space="preserve">  </w:t>
      </w:r>
      <w:r>
        <w:rPr>
          <w:rFonts w:hint="eastAsia" w:ascii="宋体" w:hAnsi="宋体" w:cs="仿宋_GB2312"/>
          <w:color w:val="000000"/>
          <w:kern w:val="0"/>
          <w:sz w:val="30"/>
          <w:szCs w:val="22"/>
        </w:rPr>
        <w:t>月</w:t>
      </w:r>
      <w:r>
        <w:rPr>
          <w:rFonts w:hint="eastAsia" w:ascii="宋体" w:hAnsi="宋体" w:cs="仿宋_GB2312"/>
          <w:color w:val="000000"/>
          <w:kern w:val="0"/>
          <w:sz w:val="30"/>
          <w:szCs w:val="22"/>
          <w:u w:val="single"/>
        </w:rPr>
        <w:t xml:space="preserve">  </w:t>
      </w:r>
      <w:r>
        <w:rPr>
          <w:rFonts w:hint="eastAsia" w:ascii="宋体" w:hAnsi="宋体" w:cs="仿宋_GB2312"/>
          <w:color w:val="000000"/>
          <w:kern w:val="0"/>
          <w:sz w:val="30"/>
          <w:szCs w:val="22"/>
        </w:rPr>
        <w:t>日</w:t>
      </w:r>
    </w:p>
    <w:bookmarkEnd w:id="133"/>
    <w:p>
      <w:pPr>
        <w:jc w:val="center"/>
        <w:rPr>
          <w:rFonts w:ascii="宋体" w:hAnsi="宋体" w:cs="仿宋_GB2312"/>
          <w:b/>
          <w:color w:val="000000"/>
          <w:kern w:val="0"/>
          <w:sz w:val="30"/>
          <w:szCs w:val="22"/>
        </w:rPr>
      </w:pPr>
      <w:r>
        <w:rPr>
          <w:rFonts w:hint="eastAsia" w:ascii="宋体" w:hAnsi="宋体" w:cs="仿宋_GB2312"/>
          <w:b/>
          <w:color w:val="000000"/>
          <w:kern w:val="0"/>
          <w:sz w:val="30"/>
          <w:szCs w:val="22"/>
        </w:rPr>
        <w:br w:type="page"/>
      </w:r>
      <w:r>
        <w:rPr>
          <w:rFonts w:hint="eastAsia" w:ascii="宋体" w:hAnsi="宋体" w:cs="仿宋_GB2312"/>
          <w:b/>
          <w:color w:val="000000"/>
          <w:kern w:val="0"/>
          <w:sz w:val="30"/>
          <w:szCs w:val="22"/>
        </w:rPr>
        <w:t>目  录</w:t>
      </w:r>
    </w:p>
    <w:p>
      <w:pPr>
        <w:spacing w:line="500" w:lineRule="exact"/>
        <w:jc w:val="left"/>
        <w:rPr>
          <w:rFonts w:ascii="宋体" w:hAnsi="宋体" w:cs="仿宋_GB2312"/>
          <w:color w:val="000000"/>
          <w:kern w:val="0"/>
          <w:sz w:val="24"/>
        </w:rPr>
      </w:pPr>
      <w:r>
        <w:rPr>
          <w:rFonts w:hint="eastAsia" w:ascii="宋体" w:hAnsi="宋体" w:cs="仿宋_GB2312"/>
          <w:color w:val="000000"/>
          <w:kern w:val="0"/>
          <w:sz w:val="24"/>
        </w:rPr>
        <w:t>（1）法定代表人身份证明书</w:t>
      </w:r>
    </w:p>
    <w:p>
      <w:pPr>
        <w:spacing w:line="500" w:lineRule="exact"/>
        <w:jc w:val="left"/>
        <w:rPr>
          <w:rFonts w:ascii="宋体" w:hAnsi="宋体" w:cs="仿宋_GB2312"/>
          <w:color w:val="000000"/>
          <w:kern w:val="0"/>
          <w:sz w:val="24"/>
        </w:rPr>
      </w:pPr>
      <w:r>
        <w:rPr>
          <w:rFonts w:hint="eastAsia" w:ascii="宋体" w:hAnsi="宋体" w:cs="仿宋_GB2312"/>
          <w:color w:val="000000"/>
          <w:kern w:val="0"/>
          <w:sz w:val="24"/>
        </w:rPr>
        <w:t>（2）法定代表人授权委托书</w:t>
      </w:r>
    </w:p>
    <w:p>
      <w:pPr>
        <w:spacing w:line="500" w:lineRule="exact"/>
        <w:jc w:val="left"/>
        <w:rPr>
          <w:rFonts w:ascii="宋体" w:hAnsi="宋体" w:cs="仿宋_GB2312"/>
          <w:color w:val="000000"/>
          <w:kern w:val="0"/>
          <w:sz w:val="24"/>
        </w:rPr>
      </w:pPr>
      <w:r>
        <w:rPr>
          <w:rFonts w:hint="eastAsia" w:ascii="宋体" w:hAnsi="宋体" w:cs="仿宋_GB2312"/>
          <w:color w:val="000000"/>
          <w:kern w:val="0"/>
          <w:sz w:val="24"/>
        </w:rPr>
        <w:t>（3）投标函及附录</w:t>
      </w:r>
    </w:p>
    <w:p>
      <w:pPr>
        <w:spacing w:line="500" w:lineRule="exact"/>
        <w:jc w:val="left"/>
        <w:rPr>
          <w:rFonts w:ascii="宋体" w:hAnsi="宋体" w:cs="仿宋_GB2312"/>
          <w:color w:val="000000"/>
          <w:kern w:val="0"/>
          <w:sz w:val="24"/>
        </w:rPr>
      </w:pPr>
      <w:r>
        <w:rPr>
          <w:rFonts w:hint="eastAsia" w:ascii="宋体" w:hAnsi="宋体" w:cs="仿宋_GB2312"/>
          <w:color w:val="000000"/>
          <w:kern w:val="0"/>
          <w:sz w:val="24"/>
        </w:rPr>
        <w:t>（4）资格证明文件及其他资料</w:t>
      </w:r>
    </w:p>
    <w:p>
      <w:pPr>
        <w:spacing w:line="500" w:lineRule="exact"/>
        <w:ind w:firstLine="240" w:firstLineChars="100"/>
        <w:jc w:val="left"/>
        <w:rPr>
          <w:rFonts w:ascii="宋体" w:hAnsi="宋体" w:cs="仿宋_GB2312"/>
          <w:color w:val="000000"/>
          <w:kern w:val="0"/>
          <w:sz w:val="24"/>
        </w:rPr>
      </w:pPr>
      <w:r>
        <w:rPr>
          <w:rFonts w:hint="eastAsia" w:ascii="宋体" w:hAnsi="宋体" w:cs="仿宋_GB2312"/>
          <w:color w:val="000000"/>
          <w:kern w:val="0"/>
          <w:sz w:val="24"/>
        </w:rPr>
        <w:t>1）企业基本情况表</w:t>
      </w:r>
    </w:p>
    <w:p>
      <w:pPr>
        <w:spacing w:line="500" w:lineRule="exact"/>
        <w:ind w:firstLine="240" w:firstLineChars="100"/>
        <w:jc w:val="left"/>
        <w:rPr>
          <w:rFonts w:ascii="宋体" w:hAnsi="宋体" w:cs="仿宋_GB2312"/>
          <w:color w:val="000000"/>
          <w:kern w:val="0"/>
          <w:sz w:val="24"/>
        </w:rPr>
      </w:pPr>
      <w:r>
        <w:rPr>
          <w:rFonts w:hint="eastAsia" w:ascii="宋体" w:hAnsi="宋体" w:cs="仿宋_GB2312"/>
          <w:color w:val="000000"/>
          <w:kern w:val="0"/>
          <w:sz w:val="24"/>
        </w:rPr>
        <w:t>2）企业法人营业执照、证书等</w:t>
      </w:r>
    </w:p>
    <w:p>
      <w:pPr>
        <w:spacing w:line="500" w:lineRule="exact"/>
        <w:ind w:firstLine="240" w:firstLineChars="100"/>
        <w:jc w:val="left"/>
        <w:rPr>
          <w:rFonts w:ascii="宋体" w:hAnsi="宋体" w:cs="仿宋_GB2312"/>
          <w:color w:val="000000"/>
          <w:kern w:val="0"/>
          <w:sz w:val="24"/>
        </w:rPr>
      </w:pPr>
      <w:r>
        <w:rPr>
          <w:rFonts w:hint="eastAsia" w:ascii="宋体" w:hAnsi="宋体" w:cs="仿宋_GB2312"/>
          <w:color w:val="000000"/>
          <w:kern w:val="0"/>
          <w:sz w:val="24"/>
        </w:rPr>
        <w:t>3）拟派项目班子成员汇总表</w:t>
      </w:r>
    </w:p>
    <w:p>
      <w:pPr>
        <w:spacing w:line="500" w:lineRule="exact"/>
        <w:ind w:firstLine="240" w:firstLineChars="100"/>
        <w:jc w:val="left"/>
        <w:rPr>
          <w:rFonts w:ascii="宋体" w:hAnsi="宋体" w:cs="仿宋_GB2312"/>
          <w:color w:val="000000"/>
          <w:kern w:val="0"/>
          <w:sz w:val="24"/>
        </w:rPr>
      </w:pPr>
      <w:r>
        <w:rPr>
          <w:rFonts w:hint="eastAsia" w:ascii="宋体" w:hAnsi="宋体" w:cs="仿宋_GB2312"/>
          <w:color w:val="000000"/>
          <w:kern w:val="0"/>
          <w:sz w:val="24"/>
        </w:rPr>
        <w:t>4）项目班子成员简历表，附职称证书、社保证明等。</w:t>
      </w:r>
    </w:p>
    <w:p>
      <w:pPr>
        <w:spacing w:line="500" w:lineRule="exact"/>
        <w:jc w:val="left"/>
        <w:rPr>
          <w:rFonts w:ascii="宋体" w:hAnsi="宋体" w:cs="仿宋_GB2312"/>
          <w:color w:val="000000"/>
          <w:kern w:val="0"/>
          <w:sz w:val="24"/>
        </w:rPr>
      </w:pPr>
      <w:r>
        <w:rPr>
          <w:rFonts w:hint="eastAsia" w:ascii="宋体" w:hAnsi="宋体" w:cs="仿宋_GB2312"/>
          <w:color w:val="000000"/>
          <w:kern w:val="0"/>
          <w:sz w:val="24"/>
        </w:rPr>
        <w:t>（5）施工组织设计</w:t>
      </w:r>
    </w:p>
    <w:p>
      <w:pPr>
        <w:spacing w:line="500" w:lineRule="exact"/>
        <w:jc w:val="left"/>
        <w:rPr>
          <w:rFonts w:ascii="宋体" w:hAnsi="宋体" w:cs="仿宋_GB2312"/>
          <w:color w:val="000000"/>
          <w:kern w:val="0"/>
          <w:sz w:val="24"/>
        </w:rPr>
      </w:pPr>
      <w:r>
        <w:rPr>
          <w:rFonts w:hint="eastAsia" w:ascii="宋体" w:hAnsi="宋体" w:cs="仿宋_GB2312"/>
          <w:color w:val="000000"/>
          <w:kern w:val="0"/>
          <w:sz w:val="24"/>
        </w:rPr>
        <w:t>（</w:t>
      </w:r>
      <w:r>
        <w:rPr>
          <w:rFonts w:ascii="宋体" w:hAnsi="宋体" w:cs="仿宋_GB2312"/>
          <w:color w:val="000000"/>
          <w:kern w:val="0"/>
          <w:sz w:val="24"/>
        </w:rPr>
        <w:t>6</w:t>
      </w:r>
      <w:r>
        <w:rPr>
          <w:rFonts w:hint="eastAsia" w:ascii="宋体" w:hAnsi="宋体" w:cs="仿宋_GB2312"/>
          <w:color w:val="000000"/>
          <w:kern w:val="0"/>
          <w:sz w:val="24"/>
        </w:rPr>
        <w:t>）投标承诺函</w:t>
      </w:r>
    </w:p>
    <w:p>
      <w:pPr>
        <w:spacing w:line="500" w:lineRule="exact"/>
        <w:ind w:firstLine="480"/>
        <w:jc w:val="left"/>
        <w:rPr>
          <w:rFonts w:ascii="宋体" w:hAnsi="宋体" w:cs="仿宋_GB2312"/>
          <w:color w:val="000000"/>
          <w:kern w:val="0"/>
          <w:sz w:val="24"/>
        </w:rPr>
      </w:pPr>
    </w:p>
    <w:p>
      <w:pPr>
        <w:spacing w:line="500" w:lineRule="exact"/>
        <w:jc w:val="left"/>
        <w:rPr>
          <w:rFonts w:ascii="宋体" w:hAnsi="宋体" w:cs="仿宋_GB2312"/>
          <w:color w:val="000000"/>
          <w:kern w:val="0"/>
          <w:sz w:val="24"/>
        </w:rPr>
      </w:pPr>
    </w:p>
    <w:p>
      <w:pPr>
        <w:keepNext/>
        <w:keepLines/>
        <w:spacing w:before="48" w:beforeLines="20" w:after="48" w:afterLines="20" w:line="360" w:lineRule="auto"/>
        <w:jc w:val="center"/>
        <w:outlineLvl w:val="2"/>
        <w:rPr>
          <w:rFonts w:ascii="宋体" w:hAnsi="宋体" w:cs="仿宋_GB2312"/>
          <w:b/>
          <w:bCs/>
          <w:color w:val="000000"/>
          <w:kern w:val="0"/>
          <w:sz w:val="32"/>
          <w:szCs w:val="32"/>
        </w:rPr>
      </w:pPr>
      <w:r>
        <w:rPr>
          <w:rFonts w:hint="eastAsia" w:ascii="宋体" w:hAnsi="宋体" w:cs="仿宋_GB2312"/>
          <w:color w:val="000000"/>
          <w:kern w:val="0"/>
          <w:sz w:val="32"/>
          <w:szCs w:val="32"/>
        </w:rPr>
        <w:br w:type="page"/>
      </w:r>
      <w:bookmarkStart w:id="137" w:name="_Toc293647949"/>
      <w:bookmarkStart w:id="138" w:name="_Toc299624999"/>
      <w:bookmarkStart w:id="139" w:name="_Toc297543284"/>
      <w:bookmarkStart w:id="140" w:name="OLE_LINK32"/>
      <w:r>
        <w:rPr>
          <w:rFonts w:hint="eastAsia" w:ascii="宋体" w:hAnsi="宋体" w:cs="仿宋_GB2312"/>
          <w:b/>
          <w:bCs/>
          <w:color w:val="000000"/>
          <w:kern w:val="0"/>
          <w:sz w:val="24"/>
        </w:rPr>
        <w:t>一、法定代表人身份证明书</w:t>
      </w:r>
      <w:bookmarkEnd w:id="137"/>
      <w:bookmarkEnd w:id="138"/>
      <w:bookmarkEnd w:id="139"/>
      <w:r>
        <w:rPr>
          <w:rFonts w:hint="eastAsia" w:ascii="宋体" w:hAnsi="宋体" w:cs="仿宋_GB2312"/>
          <w:b/>
          <w:bCs/>
          <w:color w:val="000000"/>
          <w:kern w:val="0"/>
          <w:sz w:val="24"/>
        </w:rPr>
        <w:t>(除响应文件中提供外，另手持一份)</w:t>
      </w:r>
    </w:p>
    <w:p>
      <w:pPr>
        <w:snapToGrid w:val="0"/>
        <w:spacing w:line="360" w:lineRule="auto"/>
        <w:ind w:firstLine="610"/>
        <w:jc w:val="left"/>
        <w:rPr>
          <w:rFonts w:ascii="宋体" w:hAnsi="宋体" w:cs="仿宋_GB2312"/>
          <w:color w:val="000000"/>
          <w:kern w:val="0"/>
          <w:sz w:val="24"/>
          <w:szCs w:val="22"/>
        </w:rPr>
      </w:pPr>
    </w:p>
    <w:p>
      <w:pPr>
        <w:wordWrap w:val="0"/>
        <w:snapToGrid w:val="0"/>
        <w:spacing w:line="360" w:lineRule="auto"/>
        <w:ind w:firstLine="612"/>
        <w:jc w:val="left"/>
        <w:rPr>
          <w:rFonts w:ascii="宋体" w:hAnsi="宋体" w:cs="仿宋_GB2312"/>
          <w:color w:val="000000"/>
          <w:kern w:val="0"/>
          <w:sz w:val="24"/>
          <w:szCs w:val="22"/>
        </w:rPr>
      </w:pPr>
      <w:r>
        <w:rPr>
          <w:rFonts w:hint="eastAsia" w:ascii="宋体" w:hAnsi="宋体" w:cs="仿宋_GB2312"/>
          <w:color w:val="000000"/>
          <w:kern w:val="0"/>
          <w:sz w:val="24"/>
          <w:szCs w:val="22"/>
        </w:rPr>
        <w:t>单位名称：</w:t>
      </w:r>
      <w:r>
        <w:rPr>
          <w:rFonts w:hint="eastAsia" w:ascii="宋体" w:hAnsi="宋体" w:cs="仿宋_GB2312"/>
          <w:color w:val="000000"/>
          <w:kern w:val="0"/>
          <w:sz w:val="24"/>
          <w:szCs w:val="22"/>
          <w:u w:val="single"/>
        </w:rPr>
        <w:t xml:space="preserve">                                              </w:t>
      </w:r>
    </w:p>
    <w:p>
      <w:pPr>
        <w:wordWrap w:val="0"/>
        <w:snapToGrid w:val="0"/>
        <w:spacing w:line="360" w:lineRule="auto"/>
        <w:ind w:firstLine="612"/>
        <w:jc w:val="left"/>
        <w:rPr>
          <w:rFonts w:ascii="宋体" w:hAnsi="宋体" w:cs="仿宋_GB2312"/>
          <w:color w:val="000000"/>
          <w:kern w:val="0"/>
          <w:sz w:val="24"/>
          <w:szCs w:val="22"/>
          <w:u w:val="single"/>
        </w:rPr>
      </w:pPr>
      <w:r>
        <w:rPr>
          <w:rFonts w:hint="eastAsia" w:ascii="宋体" w:hAnsi="宋体" w:cs="仿宋_GB2312"/>
          <w:color w:val="000000"/>
          <w:kern w:val="0"/>
          <w:sz w:val="24"/>
          <w:szCs w:val="22"/>
        </w:rPr>
        <w:t>单位性质：</w:t>
      </w:r>
      <w:r>
        <w:rPr>
          <w:rFonts w:hint="eastAsia" w:ascii="宋体" w:hAnsi="宋体" w:cs="仿宋_GB2312"/>
          <w:color w:val="000000"/>
          <w:kern w:val="0"/>
          <w:sz w:val="24"/>
          <w:szCs w:val="22"/>
          <w:u w:val="single"/>
        </w:rPr>
        <w:t xml:space="preserve">                                              </w:t>
      </w:r>
    </w:p>
    <w:p>
      <w:pPr>
        <w:snapToGrid w:val="0"/>
        <w:spacing w:line="360" w:lineRule="auto"/>
        <w:ind w:firstLine="610"/>
        <w:jc w:val="left"/>
        <w:rPr>
          <w:rFonts w:ascii="宋体" w:hAnsi="宋体" w:cs="仿宋_GB2312"/>
          <w:color w:val="000000"/>
          <w:kern w:val="0"/>
          <w:sz w:val="24"/>
          <w:szCs w:val="22"/>
        </w:rPr>
      </w:pPr>
      <w:r>
        <w:rPr>
          <w:rFonts w:hint="eastAsia" w:ascii="宋体" w:hAnsi="宋体" w:cs="仿宋_GB2312"/>
          <w:color w:val="000000"/>
          <w:kern w:val="0"/>
          <w:sz w:val="24"/>
          <w:szCs w:val="22"/>
        </w:rPr>
        <w:t>地    址：</w:t>
      </w:r>
      <w:r>
        <w:rPr>
          <w:rFonts w:hint="eastAsia" w:ascii="宋体" w:hAnsi="宋体" w:cs="仿宋_GB2312"/>
          <w:color w:val="000000"/>
          <w:kern w:val="0"/>
          <w:sz w:val="24"/>
          <w:szCs w:val="22"/>
          <w:u w:val="single"/>
        </w:rPr>
        <w:tab/>
      </w:r>
      <w:r>
        <w:rPr>
          <w:rFonts w:hint="eastAsia" w:ascii="宋体" w:hAnsi="宋体" w:cs="仿宋_GB2312"/>
          <w:color w:val="000000"/>
          <w:kern w:val="0"/>
          <w:sz w:val="24"/>
          <w:szCs w:val="22"/>
          <w:u w:val="single"/>
        </w:rPr>
        <w:tab/>
      </w:r>
      <w:r>
        <w:rPr>
          <w:rFonts w:hint="eastAsia" w:ascii="宋体" w:hAnsi="宋体" w:cs="仿宋_GB2312"/>
          <w:color w:val="000000"/>
          <w:kern w:val="0"/>
          <w:sz w:val="24"/>
          <w:szCs w:val="22"/>
          <w:u w:val="single"/>
        </w:rPr>
        <w:t xml:space="preserve">  </w:t>
      </w:r>
      <w:r>
        <w:rPr>
          <w:rFonts w:hint="eastAsia" w:ascii="宋体" w:hAnsi="宋体" w:cs="仿宋_GB2312"/>
          <w:color w:val="000000"/>
          <w:kern w:val="0"/>
          <w:sz w:val="24"/>
          <w:szCs w:val="22"/>
          <w:u w:val="single"/>
        </w:rPr>
        <w:tab/>
      </w:r>
      <w:r>
        <w:rPr>
          <w:rFonts w:hint="eastAsia" w:ascii="宋体" w:hAnsi="宋体" w:cs="仿宋_GB2312"/>
          <w:color w:val="000000"/>
          <w:kern w:val="0"/>
          <w:sz w:val="24"/>
          <w:szCs w:val="22"/>
          <w:u w:val="single"/>
        </w:rPr>
        <w:tab/>
      </w:r>
      <w:r>
        <w:rPr>
          <w:rFonts w:hint="eastAsia" w:ascii="宋体" w:hAnsi="宋体" w:cs="仿宋_GB2312"/>
          <w:color w:val="000000"/>
          <w:kern w:val="0"/>
          <w:sz w:val="24"/>
          <w:szCs w:val="22"/>
          <w:u w:val="single"/>
        </w:rPr>
        <w:tab/>
      </w:r>
      <w:r>
        <w:rPr>
          <w:rFonts w:hint="eastAsia" w:ascii="宋体" w:hAnsi="宋体" w:cs="仿宋_GB2312"/>
          <w:color w:val="000000"/>
          <w:kern w:val="0"/>
          <w:sz w:val="24"/>
          <w:szCs w:val="22"/>
          <w:u w:val="single"/>
        </w:rPr>
        <w:t xml:space="preserve">       </w:t>
      </w:r>
      <w:r>
        <w:rPr>
          <w:rFonts w:hint="eastAsia" w:ascii="宋体" w:hAnsi="宋体" w:cs="仿宋_GB2312"/>
          <w:color w:val="000000"/>
          <w:kern w:val="0"/>
          <w:sz w:val="24"/>
          <w:szCs w:val="22"/>
          <w:u w:val="single"/>
        </w:rPr>
        <w:tab/>
      </w:r>
      <w:r>
        <w:rPr>
          <w:rFonts w:hint="eastAsia" w:ascii="宋体" w:hAnsi="宋体" w:cs="仿宋_GB2312"/>
          <w:color w:val="000000"/>
          <w:kern w:val="0"/>
          <w:sz w:val="24"/>
          <w:szCs w:val="22"/>
          <w:u w:val="single"/>
        </w:rPr>
        <w:tab/>
      </w:r>
      <w:r>
        <w:rPr>
          <w:rFonts w:hint="eastAsia" w:ascii="宋体" w:hAnsi="宋体" w:cs="仿宋_GB2312"/>
          <w:color w:val="000000"/>
          <w:kern w:val="0"/>
          <w:sz w:val="24"/>
          <w:szCs w:val="22"/>
          <w:u w:val="single"/>
        </w:rPr>
        <w:tab/>
      </w:r>
      <w:r>
        <w:rPr>
          <w:rFonts w:hint="eastAsia" w:ascii="宋体" w:hAnsi="宋体" w:cs="仿宋_GB2312"/>
          <w:color w:val="000000"/>
          <w:kern w:val="0"/>
          <w:sz w:val="24"/>
          <w:szCs w:val="22"/>
          <w:u w:val="single"/>
        </w:rPr>
        <w:t xml:space="preserve">            </w:t>
      </w:r>
    </w:p>
    <w:p>
      <w:pPr>
        <w:snapToGrid w:val="0"/>
        <w:spacing w:line="360" w:lineRule="auto"/>
        <w:ind w:firstLine="610"/>
        <w:jc w:val="left"/>
        <w:rPr>
          <w:rFonts w:ascii="宋体" w:hAnsi="宋体" w:cs="仿宋_GB2312"/>
          <w:color w:val="000000"/>
          <w:kern w:val="0"/>
          <w:sz w:val="24"/>
          <w:szCs w:val="22"/>
        </w:rPr>
      </w:pPr>
      <w:r>
        <w:rPr>
          <w:rFonts w:hint="eastAsia" w:ascii="宋体" w:hAnsi="宋体" w:cs="仿宋_GB2312"/>
          <w:color w:val="000000"/>
          <w:kern w:val="0"/>
          <w:sz w:val="24"/>
          <w:szCs w:val="22"/>
        </w:rPr>
        <w:t>成立时间：</w:t>
      </w:r>
      <w:r>
        <w:rPr>
          <w:rFonts w:hint="eastAsia" w:ascii="宋体" w:hAnsi="宋体" w:cs="仿宋_GB2312"/>
          <w:color w:val="000000"/>
          <w:kern w:val="0"/>
          <w:sz w:val="24"/>
          <w:szCs w:val="22"/>
          <w:u w:val="single"/>
        </w:rPr>
        <w:t xml:space="preserve">                </w:t>
      </w:r>
      <w:r>
        <w:rPr>
          <w:rFonts w:hint="eastAsia" w:ascii="宋体" w:hAnsi="宋体" w:cs="仿宋_GB2312"/>
          <w:color w:val="000000"/>
          <w:kern w:val="0"/>
          <w:sz w:val="24"/>
          <w:szCs w:val="22"/>
        </w:rPr>
        <w:t xml:space="preserve"> 年 </w:t>
      </w:r>
      <w:r>
        <w:rPr>
          <w:rFonts w:hint="eastAsia" w:ascii="宋体" w:hAnsi="宋体" w:cs="仿宋_GB2312"/>
          <w:color w:val="000000"/>
          <w:kern w:val="0"/>
          <w:sz w:val="24"/>
          <w:szCs w:val="22"/>
          <w:u w:val="single"/>
        </w:rPr>
        <w:t xml:space="preserve">           </w:t>
      </w:r>
      <w:r>
        <w:rPr>
          <w:rFonts w:hint="eastAsia" w:ascii="宋体" w:hAnsi="宋体" w:cs="仿宋_GB2312"/>
          <w:color w:val="000000"/>
          <w:kern w:val="0"/>
          <w:sz w:val="24"/>
          <w:szCs w:val="22"/>
        </w:rPr>
        <w:t xml:space="preserve">月 </w:t>
      </w:r>
      <w:r>
        <w:rPr>
          <w:rFonts w:hint="eastAsia" w:ascii="宋体" w:hAnsi="宋体" w:cs="仿宋_GB2312"/>
          <w:color w:val="000000"/>
          <w:kern w:val="0"/>
          <w:sz w:val="24"/>
          <w:szCs w:val="22"/>
          <w:u w:val="single"/>
        </w:rPr>
        <w:t xml:space="preserve">          </w:t>
      </w:r>
      <w:r>
        <w:rPr>
          <w:rFonts w:hint="eastAsia" w:ascii="宋体" w:hAnsi="宋体" w:cs="仿宋_GB2312"/>
          <w:color w:val="000000"/>
          <w:kern w:val="0"/>
          <w:sz w:val="24"/>
          <w:szCs w:val="22"/>
        </w:rPr>
        <w:t>日</w:t>
      </w:r>
    </w:p>
    <w:p>
      <w:pPr>
        <w:snapToGrid w:val="0"/>
        <w:spacing w:line="360" w:lineRule="auto"/>
        <w:ind w:firstLine="610"/>
        <w:jc w:val="left"/>
        <w:rPr>
          <w:rFonts w:ascii="宋体" w:hAnsi="宋体" w:cs="仿宋_GB2312"/>
          <w:color w:val="000000"/>
          <w:kern w:val="0"/>
          <w:sz w:val="24"/>
          <w:szCs w:val="22"/>
        </w:rPr>
      </w:pPr>
      <w:r>
        <w:rPr>
          <w:rFonts w:hint="eastAsia" w:ascii="宋体" w:hAnsi="宋体" w:cs="仿宋_GB2312"/>
          <w:color w:val="000000"/>
          <w:kern w:val="0"/>
          <w:sz w:val="24"/>
          <w:szCs w:val="22"/>
        </w:rPr>
        <w:t>经营期限：</w:t>
      </w:r>
      <w:r>
        <w:rPr>
          <w:rFonts w:hint="eastAsia" w:ascii="宋体" w:hAnsi="宋体" w:cs="仿宋_GB2312"/>
          <w:color w:val="000000"/>
          <w:kern w:val="0"/>
          <w:sz w:val="24"/>
          <w:szCs w:val="22"/>
          <w:u w:val="single"/>
        </w:rPr>
        <w:t xml:space="preserve">                                              </w:t>
      </w:r>
    </w:p>
    <w:p>
      <w:pPr>
        <w:snapToGrid w:val="0"/>
        <w:spacing w:line="360" w:lineRule="auto"/>
        <w:ind w:firstLine="610"/>
        <w:jc w:val="left"/>
        <w:rPr>
          <w:rFonts w:ascii="宋体" w:hAnsi="宋体" w:cs="仿宋_GB2312"/>
          <w:color w:val="000000"/>
          <w:kern w:val="0"/>
          <w:sz w:val="24"/>
          <w:szCs w:val="22"/>
          <w:u w:val="single"/>
        </w:rPr>
      </w:pPr>
      <w:r>
        <w:rPr>
          <w:rFonts w:hint="eastAsia" w:ascii="宋体" w:hAnsi="宋体" w:cs="仿宋_GB2312"/>
          <w:color w:val="000000"/>
          <w:kern w:val="0"/>
          <w:sz w:val="24"/>
          <w:szCs w:val="22"/>
        </w:rPr>
        <w:t>姓    名：</w:t>
      </w:r>
      <w:r>
        <w:rPr>
          <w:rFonts w:hint="eastAsia" w:ascii="宋体" w:hAnsi="宋体" w:cs="仿宋_GB2312"/>
          <w:color w:val="000000"/>
          <w:kern w:val="0"/>
          <w:sz w:val="24"/>
          <w:szCs w:val="22"/>
          <w:u w:val="single"/>
        </w:rPr>
        <w:t xml:space="preserve">                 </w:t>
      </w:r>
      <w:r>
        <w:rPr>
          <w:rFonts w:hint="eastAsia" w:ascii="宋体" w:hAnsi="宋体" w:cs="仿宋_GB2312"/>
          <w:color w:val="000000"/>
          <w:kern w:val="0"/>
          <w:sz w:val="24"/>
          <w:szCs w:val="22"/>
        </w:rPr>
        <w:t xml:space="preserve">   性别：</w:t>
      </w:r>
      <w:r>
        <w:rPr>
          <w:rFonts w:hint="eastAsia" w:ascii="宋体" w:hAnsi="宋体" w:cs="仿宋_GB2312"/>
          <w:color w:val="000000"/>
          <w:kern w:val="0"/>
          <w:sz w:val="24"/>
          <w:szCs w:val="22"/>
          <w:u w:val="single"/>
        </w:rPr>
        <w:t xml:space="preserve">                    </w:t>
      </w:r>
    </w:p>
    <w:p>
      <w:pPr>
        <w:snapToGrid w:val="0"/>
        <w:spacing w:line="360" w:lineRule="auto"/>
        <w:ind w:firstLine="610"/>
        <w:jc w:val="left"/>
        <w:rPr>
          <w:rFonts w:ascii="宋体" w:hAnsi="宋体" w:cs="仿宋_GB2312"/>
          <w:color w:val="000000"/>
          <w:kern w:val="0"/>
          <w:sz w:val="24"/>
          <w:szCs w:val="22"/>
          <w:u w:val="single"/>
        </w:rPr>
      </w:pPr>
      <w:r>
        <w:rPr>
          <w:rFonts w:hint="eastAsia" w:ascii="宋体" w:hAnsi="宋体" w:cs="仿宋_GB2312"/>
          <w:color w:val="000000"/>
          <w:kern w:val="0"/>
          <w:sz w:val="24"/>
          <w:szCs w:val="22"/>
        </w:rPr>
        <w:t>年    龄：</w:t>
      </w:r>
      <w:r>
        <w:rPr>
          <w:rFonts w:hint="eastAsia" w:ascii="宋体" w:hAnsi="宋体" w:cs="仿宋_GB2312"/>
          <w:color w:val="000000"/>
          <w:kern w:val="0"/>
          <w:sz w:val="24"/>
          <w:szCs w:val="22"/>
          <w:u w:val="single"/>
        </w:rPr>
        <w:t xml:space="preserve">                 </w:t>
      </w:r>
      <w:r>
        <w:rPr>
          <w:rFonts w:hint="eastAsia" w:ascii="宋体" w:hAnsi="宋体" w:cs="仿宋_GB2312"/>
          <w:color w:val="000000"/>
          <w:kern w:val="0"/>
          <w:sz w:val="24"/>
          <w:szCs w:val="22"/>
        </w:rPr>
        <w:t xml:space="preserve">   职务：</w:t>
      </w:r>
      <w:r>
        <w:rPr>
          <w:rFonts w:hint="eastAsia" w:ascii="宋体" w:hAnsi="宋体" w:cs="仿宋_GB2312"/>
          <w:color w:val="000000"/>
          <w:kern w:val="0"/>
          <w:sz w:val="24"/>
          <w:szCs w:val="22"/>
        </w:rPr>
        <w:tab/>
      </w:r>
      <w:r>
        <w:rPr>
          <w:rFonts w:hint="eastAsia" w:ascii="宋体" w:hAnsi="宋体" w:cs="仿宋_GB2312"/>
          <w:color w:val="000000"/>
          <w:kern w:val="0"/>
          <w:sz w:val="24"/>
          <w:szCs w:val="22"/>
          <w:u w:val="single"/>
        </w:rPr>
        <w:t xml:space="preserve">                   </w:t>
      </w:r>
    </w:p>
    <w:p>
      <w:pPr>
        <w:snapToGrid w:val="0"/>
        <w:spacing w:line="360" w:lineRule="auto"/>
        <w:ind w:firstLine="610"/>
        <w:jc w:val="left"/>
        <w:rPr>
          <w:rFonts w:ascii="宋体" w:hAnsi="宋体" w:cs="仿宋_GB2312"/>
          <w:color w:val="000000"/>
          <w:kern w:val="0"/>
          <w:sz w:val="24"/>
          <w:szCs w:val="22"/>
        </w:rPr>
      </w:pPr>
      <w:r>
        <w:rPr>
          <w:rFonts w:hint="eastAsia" w:ascii="宋体" w:hAnsi="宋体" w:cs="仿宋_GB2312"/>
          <w:color w:val="000000"/>
          <w:kern w:val="0"/>
          <w:sz w:val="24"/>
          <w:szCs w:val="22"/>
        </w:rPr>
        <w:t xml:space="preserve">系  </w:t>
      </w:r>
      <w:r>
        <w:rPr>
          <w:rFonts w:hint="eastAsia" w:ascii="宋体" w:hAnsi="宋体" w:cs="仿宋_GB2312"/>
          <w:color w:val="000000"/>
          <w:kern w:val="0"/>
          <w:sz w:val="24"/>
          <w:szCs w:val="22"/>
          <w:u w:val="single"/>
        </w:rPr>
        <w:t xml:space="preserve">                      （供应商单位名称）</w:t>
      </w:r>
      <w:r>
        <w:rPr>
          <w:rFonts w:hint="eastAsia" w:ascii="宋体" w:hAnsi="宋体" w:cs="仿宋_GB2312"/>
          <w:color w:val="000000"/>
          <w:kern w:val="0"/>
          <w:sz w:val="24"/>
          <w:szCs w:val="22"/>
        </w:rPr>
        <w:t>的法定代表人。</w:t>
      </w:r>
    </w:p>
    <w:p>
      <w:pPr>
        <w:snapToGrid w:val="0"/>
        <w:spacing w:after="120" w:line="360" w:lineRule="auto"/>
        <w:ind w:left="53" w:leftChars="25" w:firstLine="600" w:firstLineChars="250"/>
        <w:rPr>
          <w:rFonts w:ascii="宋体" w:hAnsi="宋体" w:cs="仿宋_GB2312"/>
          <w:color w:val="000000"/>
          <w:kern w:val="0"/>
        </w:rPr>
      </w:pPr>
      <w:r>
        <w:rPr>
          <w:rFonts w:hint="eastAsia" w:ascii="宋体" w:hAnsi="宋体" w:cs="仿宋_GB2312"/>
          <w:color w:val="000000"/>
          <w:kern w:val="0"/>
          <w:sz w:val="24"/>
        </w:rPr>
        <w:t>特此证明。</w:t>
      </w:r>
    </w:p>
    <w:p>
      <w:pPr>
        <w:tabs>
          <w:tab w:val="left" w:pos="720"/>
          <w:tab w:val="left" w:pos="900"/>
        </w:tabs>
        <w:snapToGrid w:val="0"/>
        <w:spacing w:line="360" w:lineRule="auto"/>
        <w:ind w:firstLine="708" w:firstLineChars="294"/>
        <w:jc w:val="left"/>
        <w:rPr>
          <w:rFonts w:ascii="宋体" w:hAnsi="宋体" w:cs="仿宋_GB2312"/>
          <w:color w:val="000000"/>
          <w:kern w:val="0"/>
          <w:sz w:val="24"/>
          <w:szCs w:val="22"/>
        </w:rPr>
      </w:pPr>
      <w:r>
        <w:rPr>
          <w:rFonts w:hint="eastAsia" w:ascii="宋体" w:hAnsi="宋体" w:cs="仿宋_GB2312"/>
          <w:b/>
          <w:color w:val="000000"/>
          <w:kern w:val="0"/>
          <w:sz w:val="24"/>
        </w:rPr>
        <w:t>后附法定代表人身份证复印件。</w:t>
      </w:r>
    </w:p>
    <w:p>
      <w:pPr>
        <w:tabs>
          <w:tab w:val="left" w:pos="720"/>
          <w:tab w:val="left" w:pos="900"/>
        </w:tabs>
        <w:snapToGrid w:val="0"/>
        <w:spacing w:line="360" w:lineRule="auto"/>
        <w:ind w:firstLine="3840" w:firstLineChars="1600"/>
        <w:jc w:val="left"/>
        <w:rPr>
          <w:rFonts w:ascii="宋体" w:hAnsi="宋体" w:cs="仿宋_GB2312"/>
          <w:color w:val="000000"/>
          <w:kern w:val="0"/>
          <w:sz w:val="24"/>
          <w:szCs w:val="22"/>
        </w:rPr>
      </w:pPr>
      <w:r>
        <w:rPr>
          <w:rFonts w:hint="eastAsia" w:ascii="宋体" w:hAnsi="宋体" w:cs="仿宋_GB2312"/>
          <w:color w:val="000000"/>
          <w:kern w:val="0"/>
          <w:sz w:val="24"/>
          <w:szCs w:val="22"/>
        </w:rPr>
        <w:t>供应商：</w:t>
      </w:r>
      <w:r>
        <w:rPr>
          <w:rFonts w:hint="eastAsia" w:ascii="宋体" w:hAnsi="宋体" w:cs="仿宋_GB2312"/>
          <w:color w:val="000000"/>
          <w:kern w:val="0"/>
          <w:sz w:val="24"/>
          <w:szCs w:val="22"/>
          <w:u w:val="single"/>
        </w:rPr>
        <w:t xml:space="preserve">             （盖公章）</w:t>
      </w:r>
    </w:p>
    <w:p>
      <w:pPr>
        <w:snapToGrid w:val="0"/>
        <w:spacing w:line="360" w:lineRule="auto"/>
        <w:ind w:firstLine="3840" w:firstLineChars="1600"/>
        <w:jc w:val="left"/>
        <w:rPr>
          <w:rFonts w:ascii="宋体" w:hAnsi="宋体" w:cs="仿宋_GB2312"/>
          <w:b/>
          <w:color w:val="000000"/>
          <w:kern w:val="0"/>
          <w:sz w:val="24"/>
          <w:szCs w:val="22"/>
        </w:rPr>
      </w:pPr>
      <w:r>
        <w:rPr>
          <w:rFonts w:hint="eastAsia" w:ascii="宋体" w:hAnsi="宋体" w:cs="仿宋_GB2312"/>
          <w:color w:val="000000"/>
          <w:kern w:val="0"/>
          <w:sz w:val="24"/>
          <w:szCs w:val="22"/>
        </w:rPr>
        <w:t>日  期：</w:t>
      </w:r>
      <w:r>
        <w:rPr>
          <w:rFonts w:hint="eastAsia" w:ascii="宋体" w:hAnsi="宋体" w:cs="仿宋_GB2312"/>
          <w:color w:val="000000"/>
          <w:kern w:val="0"/>
          <w:sz w:val="24"/>
          <w:szCs w:val="22"/>
          <w:u w:val="single"/>
        </w:rPr>
        <w:t xml:space="preserve">      </w:t>
      </w:r>
      <w:r>
        <w:rPr>
          <w:rFonts w:hint="eastAsia" w:ascii="宋体" w:hAnsi="宋体" w:cs="仿宋_GB2312"/>
          <w:color w:val="000000"/>
          <w:kern w:val="0"/>
          <w:sz w:val="24"/>
          <w:szCs w:val="22"/>
        </w:rPr>
        <w:t>年</w:t>
      </w:r>
      <w:r>
        <w:rPr>
          <w:rFonts w:hint="eastAsia" w:ascii="宋体" w:hAnsi="宋体" w:cs="仿宋_GB2312"/>
          <w:color w:val="000000"/>
          <w:kern w:val="0"/>
          <w:sz w:val="24"/>
          <w:szCs w:val="22"/>
          <w:u w:val="single"/>
        </w:rPr>
        <w:t xml:space="preserve">     </w:t>
      </w:r>
      <w:r>
        <w:rPr>
          <w:rFonts w:hint="eastAsia" w:ascii="宋体" w:hAnsi="宋体" w:cs="仿宋_GB2312"/>
          <w:color w:val="000000"/>
          <w:kern w:val="0"/>
          <w:sz w:val="24"/>
          <w:szCs w:val="22"/>
        </w:rPr>
        <w:t>月</w:t>
      </w:r>
      <w:r>
        <w:rPr>
          <w:rFonts w:hint="eastAsia" w:ascii="宋体" w:hAnsi="宋体" w:cs="仿宋_GB2312"/>
          <w:color w:val="000000"/>
          <w:kern w:val="0"/>
          <w:sz w:val="24"/>
          <w:szCs w:val="22"/>
          <w:u w:val="single"/>
        </w:rPr>
        <w:t xml:space="preserve">     </w:t>
      </w:r>
      <w:r>
        <w:rPr>
          <w:rFonts w:hint="eastAsia" w:ascii="宋体" w:hAnsi="宋体" w:cs="仿宋_GB2312"/>
          <w:color w:val="000000"/>
          <w:kern w:val="0"/>
          <w:sz w:val="24"/>
          <w:szCs w:val="22"/>
        </w:rPr>
        <w:t>日</w:t>
      </w:r>
    </w:p>
    <w:p>
      <w:pPr>
        <w:snapToGrid w:val="0"/>
        <w:spacing w:line="360" w:lineRule="auto"/>
        <w:jc w:val="center"/>
        <w:rPr>
          <w:rFonts w:ascii="宋体" w:hAnsi="宋体" w:cs="仿宋_GB2312"/>
          <w:b/>
          <w:bCs/>
          <w:color w:val="000000"/>
          <w:kern w:val="0"/>
          <w:sz w:val="24"/>
          <w:szCs w:val="22"/>
        </w:rPr>
      </w:pPr>
    </w:p>
    <w:p>
      <w:pPr>
        <w:snapToGrid w:val="0"/>
        <w:spacing w:line="360" w:lineRule="auto"/>
        <w:jc w:val="center"/>
        <w:rPr>
          <w:rFonts w:ascii="宋体" w:hAnsi="宋体" w:cs="仿宋_GB2312"/>
          <w:b/>
          <w:bCs/>
          <w:color w:val="000000"/>
          <w:kern w:val="0"/>
          <w:sz w:val="24"/>
          <w:szCs w:val="22"/>
        </w:rPr>
      </w:pPr>
    </w:p>
    <w:p>
      <w:pPr>
        <w:snapToGrid w:val="0"/>
        <w:spacing w:line="360" w:lineRule="auto"/>
        <w:jc w:val="center"/>
        <w:rPr>
          <w:rFonts w:ascii="宋体" w:hAnsi="宋体" w:cs="仿宋_GB2312"/>
          <w:b/>
          <w:bCs/>
          <w:color w:val="000000"/>
          <w:kern w:val="0"/>
          <w:sz w:val="24"/>
          <w:szCs w:val="22"/>
        </w:rPr>
      </w:pPr>
    </w:p>
    <w:p>
      <w:pPr>
        <w:snapToGrid w:val="0"/>
        <w:spacing w:line="360" w:lineRule="auto"/>
        <w:jc w:val="center"/>
        <w:rPr>
          <w:rFonts w:ascii="宋体" w:hAnsi="宋体" w:cs="仿宋_GB2312"/>
          <w:b/>
          <w:bCs/>
          <w:color w:val="000000"/>
          <w:kern w:val="0"/>
          <w:sz w:val="24"/>
          <w:szCs w:val="22"/>
        </w:rPr>
      </w:pPr>
    </w:p>
    <w:p>
      <w:pPr>
        <w:snapToGrid w:val="0"/>
        <w:spacing w:line="360" w:lineRule="auto"/>
        <w:jc w:val="center"/>
        <w:rPr>
          <w:rFonts w:ascii="宋体" w:hAnsi="宋体" w:cs="仿宋_GB2312"/>
          <w:b/>
          <w:bCs/>
          <w:color w:val="000000"/>
          <w:kern w:val="0"/>
          <w:sz w:val="24"/>
          <w:szCs w:val="22"/>
        </w:rPr>
      </w:pPr>
    </w:p>
    <w:p>
      <w:pPr>
        <w:snapToGrid w:val="0"/>
        <w:spacing w:line="360" w:lineRule="auto"/>
        <w:jc w:val="center"/>
        <w:rPr>
          <w:rFonts w:ascii="宋体" w:hAnsi="宋体" w:cs="仿宋_GB2312"/>
          <w:b/>
          <w:bCs/>
          <w:color w:val="000000"/>
          <w:kern w:val="0"/>
          <w:sz w:val="24"/>
          <w:szCs w:val="22"/>
        </w:rPr>
      </w:pPr>
    </w:p>
    <w:p>
      <w:pPr>
        <w:snapToGrid w:val="0"/>
        <w:spacing w:line="360" w:lineRule="auto"/>
        <w:jc w:val="center"/>
        <w:rPr>
          <w:rFonts w:ascii="宋体" w:hAnsi="宋体" w:cs="仿宋_GB2312"/>
          <w:b/>
          <w:bCs/>
          <w:color w:val="000000"/>
          <w:kern w:val="0"/>
          <w:sz w:val="24"/>
          <w:szCs w:val="22"/>
        </w:rPr>
      </w:pPr>
    </w:p>
    <w:p>
      <w:pPr>
        <w:snapToGrid w:val="0"/>
        <w:spacing w:line="360" w:lineRule="auto"/>
        <w:jc w:val="center"/>
        <w:rPr>
          <w:rFonts w:ascii="宋体" w:hAnsi="宋体" w:cs="仿宋_GB2312"/>
          <w:b/>
          <w:bCs/>
          <w:color w:val="000000"/>
          <w:kern w:val="0"/>
          <w:sz w:val="24"/>
          <w:szCs w:val="22"/>
        </w:rPr>
      </w:pPr>
    </w:p>
    <w:p>
      <w:pPr>
        <w:snapToGrid w:val="0"/>
        <w:spacing w:line="360" w:lineRule="auto"/>
        <w:jc w:val="center"/>
        <w:rPr>
          <w:rFonts w:ascii="宋体" w:hAnsi="宋体" w:cs="仿宋_GB2312"/>
          <w:b/>
          <w:bCs/>
          <w:color w:val="000000"/>
          <w:kern w:val="0"/>
          <w:sz w:val="24"/>
          <w:szCs w:val="22"/>
        </w:rPr>
      </w:pPr>
    </w:p>
    <w:p>
      <w:pPr>
        <w:snapToGrid w:val="0"/>
        <w:spacing w:line="360" w:lineRule="auto"/>
        <w:jc w:val="center"/>
        <w:rPr>
          <w:rFonts w:ascii="宋体" w:hAnsi="宋体" w:cs="仿宋_GB2312"/>
          <w:b/>
          <w:bCs/>
          <w:color w:val="000000"/>
          <w:kern w:val="0"/>
          <w:sz w:val="24"/>
          <w:szCs w:val="22"/>
        </w:rPr>
      </w:pPr>
    </w:p>
    <w:p>
      <w:pPr>
        <w:snapToGrid w:val="0"/>
        <w:spacing w:line="360" w:lineRule="auto"/>
        <w:jc w:val="center"/>
        <w:rPr>
          <w:rFonts w:ascii="宋体" w:hAnsi="宋体" w:cs="仿宋_GB2312"/>
          <w:b/>
          <w:bCs/>
          <w:color w:val="000000"/>
          <w:kern w:val="0"/>
          <w:sz w:val="24"/>
          <w:szCs w:val="22"/>
        </w:rPr>
      </w:pPr>
    </w:p>
    <w:p>
      <w:pPr>
        <w:snapToGrid w:val="0"/>
        <w:spacing w:line="360" w:lineRule="auto"/>
        <w:jc w:val="center"/>
        <w:rPr>
          <w:rFonts w:ascii="宋体" w:hAnsi="宋体" w:cs="仿宋_GB2312"/>
          <w:b/>
          <w:bCs/>
          <w:color w:val="000000"/>
          <w:kern w:val="0"/>
          <w:sz w:val="24"/>
          <w:szCs w:val="22"/>
        </w:rPr>
      </w:pPr>
    </w:p>
    <w:p>
      <w:pPr>
        <w:snapToGrid w:val="0"/>
        <w:spacing w:line="360" w:lineRule="auto"/>
        <w:jc w:val="center"/>
        <w:rPr>
          <w:rFonts w:ascii="宋体" w:hAnsi="宋体" w:cs="仿宋_GB2312"/>
          <w:b/>
          <w:bCs/>
          <w:color w:val="000000"/>
          <w:kern w:val="0"/>
          <w:sz w:val="24"/>
          <w:szCs w:val="22"/>
        </w:rPr>
      </w:pPr>
    </w:p>
    <w:p>
      <w:pPr>
        <w:snapToGrid w:val="0"/>
        <w:spacing w:line="360" w:lineRule="auto"/>
        <w:jc w:val="center"/>
        <w:rPr>
          <w:rFonts w:ascii="宋体" w:hAnsi="宋体" w:cs="仿宋_GB2312"/>
          <w:b/>
          <w:bCs/>
          <w:color w:val="000000"/>
          <w:kern w:val="0"/>
          <w:sz w:val="24"/>
          <w:szCs w:val="22"/>
        </w:rPr>
      </w:pPr>
    </w:p>
    <w:p>
      <w:pPr>
        <w:snapToGrid w:val="0"/>
        <w:spacing w:line="360" w:lineRule="auto"/>
        <w:jc w:val="center"/>
        <w:rPr>
          <w:rFonts w:ascii="宋体" w:hAnsi="宋体" w:cs="仿宋_GB2312"/>
          <w:b/>
          <w:bCs/>
          <w:color w:val="000000"/>
          <w:kern w:val="0"/>
          <w:sz w:val="24"/>
          <w:szCs w:val="22"/>
        </w:rPr>
      </w:pPr>
    </w:p>
    <w:p>
      <w:pPr>
        <w:snapToGrid w:val="0"/>
        <w:spacing w:line="360" w:lineRule="auto"/>
        <w:jc w:val="center"/>
        <w:rPr>
          <w:rFonts w:ascii="宋体" w:hAnsi="宋体" w:cs="仿宋_GB2312"/>
          <w:b/>
          <w:bCs/>
          <w:color w:val="000000"/>
          <w:kern w:val="0"/>
          <w:sz w:val="24"/>
        </w:rPr>
      </w:pPr>
    </w:p>
    <w:p>
      <w:pPr>
        <w:snapToGrid w:val="0"/>
        <w:spacing w:line="360" w:lineRule="auto"/>
        <w:jc w:val="center"/>
        <w:rPr>
          <w:rFonts w:ascii="宋体" w:hAnsi="宋体" w:cs="仿宋_GB2312"/>
          <w:b/>
          <w:bCs/>
          <w:color w:val="000000"/>
          <w:kern w:val="0"/>
          <w:sz w:val="24"/>
        </w:rPr>
      </w:pPr>
      <w:r>
        <w:rPr>
          <w:rFonts w:hint="eastAsia" w:ascii="宋体" w:hAnsi="宋体" w:cs="仿宋_GB2312"/>
          <w:b/>
          <w:bCs/>
          <w:color w:val="000000"/>
          <w:kern w:val="0"/>
          <w:sz w:val="24"/>
        </w:rPr>
        <w:t>二、法定代表人授权书(除响应文件中提供外，另手持一份)</w:t>
      </w:r>
    </w:p>
    <w:p>
      <w:pPr>
        <w:snapToGrid w:val="0"/>
        <w:spacing w:line="360" w:lineRule="auto"/>
        <w:jc w:val="left"/>
        <w:rPr>
          <w:rFonts w:ascii="宋体" w:hAnsi="宋体" w:cs="仿宋_GB2312"/>
          <w:color w:val="000000"/>
          <w:kern w:val="0"/>
          <w:sz w:val="24"/>
          <w:szCs w:val="22"/>
          <w:u w:val="single"/>
        </w:rPr>
      </w:pPr>
    </w:p>
    <w:p>
      <w:pPr>
        <w:snapToGrid w:val="0"/>
        <w:spacing w:line="360" w:lineRule="auto"/>
        <w:jc w:val="left"/>
        <w:rPr>
          <w:rFonts w:ascii="宋体" w:hAnsi="宋体" w:cs="仿宋_GB2312"/>
          <w:bCs/>
          <w:color w:val="000000"/>
          <w:kern w:val="0"/>
          <w:sz w:val="24"/>
        </w:rPr>
      </w:pPr>
      <w:r>
        <w:rPr>
          <w:rFonts w:hint="eastAsia" w:ascii="宋体" w:hAnsi="宋体" w:cs="仿宋_GB2312"/>
          <w:color w:val="000000"/>
          <w:kern w:val="0"/>
          <w:sz w:val="24"/>
          <w:szCs w:val="22"/>
          <w:u w:val="single"/>
        </w:rPr>
        <w:t xml:space="preserve">                </w:t>
      </w:r>
      <w:r>
        <w:rPr>
          <w:rFonts w:hint="eastAsia" w:ascii="宋体" w:hAnsi="宋体" w:cs="仿宋_GB2312"/>
          <w:bCs/>
          <w:color w:val="000000"/>
          <w:kern w:val="0"/>
          <w:sz w:val="24"/>
        </w:rPr>
        <w:t>：</w:t>
      </w:r>
    </w:p>
    <w:p>
      <w:pPr>
        <w:snapToGrid w:val="0"/>
        <w:spacing w:line="360" w:lineRule="auto"/>
        <w:jc w:val="left"/>
        <w:rPr>
          <w:rFonts w:ascii="宋体" w:hAnsi="宋体" w:cs="仿宋_GB2312"/>
          <w:color w:val="000000"/>
          <w:kern w:val="0"/>
          <w:sz w:val="24"/>
        </w:rPr>
      </w:pPr>
      <w:r>
        <w:rPr>
          <w:rFonts w:hint="eastAsia" w:ascii="宋体" w:hAnsi="宋体" w:cs="仿宋_GB2312"/>
          <w:color w:val="000000"/>
          <w:kern w:val="0"/>
          <w:sz w:val="24"/>
        </w:rPr>
        <w:t xml:space="preserve">     本授权书声明：注册于</w:t>
      </w:r>
      <w:r>
        <w:rPr>
          <w:rFonts w:hint="eastAsia" w:ascii="宋体" w:hAnsi="宋体" w:cs="仿宋_GB2312"/>
          <w:color w:val="000000"/>
          <w:kern w:val="0"/>
          <w:sz w:val="24"/>
          <w:u w:val="single"/>
        </w:rPr>
        <w:t xml:space="preserve">           </w:t>
      </w:r>
      <w:r>
        <w:rPr>
          <w:rFonts w:hint="eastAsia" w:ascii="宋体" w:hAnsi="宋体" w:cs="仿宋_GB2312"/>
          <w:color w:val="000000"/>
          <w:kern w:val="0"/>
          <w:sz w:val="24"/>
        </w:rPr>
        <w:t>(供应商注册地名)的</w:t>
      </w:r>
      <w:r>
        <w:rPr>
          <w:rFonts w:hint="eastAsia" w:ascii="宋体" w:hAnsi="宋体" w:cs="仿宋_GB2312"/>
          <w:color w:val="000000"/>
          <w:kern w:val="0"/>
          <w:sz w:val="24"/>
          <w:u w:val="single"/>
        </w:rPr>
        <w:t xml:space="preserve">                    </w:t>
      </w:r>
      <w:r>
        <w:rPr>
          <w:rFonts w:hint="eastAsia" w:ascii="宋体" w:hAnsi="宋体" w:cs="仿宋_GB2312"/>
          <w:color w:val="000000"/>
          <w:kern w:val="0"/>
          <w:sz w:val="24"/>
        </w:rPr>
        <w:t>(</w:t>
      </w:r>
      <w:r>
        <w:rPr>
          <w:rFonts w:hint="eastAsia" w:ascii="宋体" w:hAnsi="宋体" w:cs="仿宋_GB2312"/>
          <w:color w:val="000000"/>
          <w:kern w:val="0"/>
          <w:sz w:val="24"/>
          <w:szCs w:val="22"/>
        </w:rPr>
        <w:t>供应商单位名称)</w:t>
      </w:r>
      <w:r>
        <w:rPr>
          <w:rFonts w:hint="eastAsia" w:ascii="宋体" w:hAnsi="宋体" w:cs="仿宋_GB2312"/>
          <w:color w:val="000000"/>
          <w:kern w:val="0"/>
          <w:sz w:val="24"/>
        </w:rPr>
        <w:t>的</w:t>
      </w:r>
      <w:r>
        <w:rPr>
          <w:rFonts w:hint="eastAsia" w:ascii="宋体" w:hAnsi="宋体" w:cs="仿宋_GB2312"/>
          <w:color w:val="000000"/>
          <w:kern w:val="0"/>
          <w:sz w:val="24"/>
          <w:u w:val="single"/>
        </w:rPr>
        <w:t xml:space="preserve">           </w:t>
      </w:r>
      <w:r>
        <w:rPr>
          <w:rFonts w:hint="eastAsia" w:ascii="宋体" w:hAnsi="宋体" w:cs="仿宋_GB2312"/>
          <w:color w:val="000000"/>
          <w:kern w:val="0"/>
          <w:sz w:val="24"/>
        </w:rPr>
        <w:t>（法定代表人姓名、职务）代表本公司授权</w:t>
      </w:r>
      <w:r>
        <w:rPr>
          <w:rFonts w:hint="eastAsia" w:ascii="宋体" w:hAnsi="宋体" w:cs="仿宋_GB2312"/>
          <w:color w:val="000000"/>
          <w:kern w:val="0"/>
          <w:sz w:val="24"/>
          <w:u w:val="single"/>
        </w:rPr>
        <w:t xml:space="preserve">              </w:t>
      </w:r>
      <w:r>
        <w:rPr>
          <w:rFonts w:hint="eastAsia" w:ascii="宋体" w:hAnsi="宋体" w:cs="仿宋_GB2312"/>
          <w:color w:val="000000"/>
          <w:kern w:val="0"/>
          <w:sz w:val="24"/>
        </w:rPr>
        <w:t>(被授权人的姓名、职务)为本公司的合法代理人，参加</w:t>
      </w:r>
      <w:r>
        <w:rPr>
          <w:rFonts w:hint="eastAsia" w:ascii="宋体" w:hAnsi="宋体" w:cs="仿宋_GB2312"/>
          <w:color w:val="000000"/>
          <w:kern w:val="0"/>
          <w:sz w:val="24"/>
          <w:u w:val="single"/>
        </w:rPr>
        <w:t xml:space="preserve">                        </w:t>
      </w:r>
      <w:r>
        <w:rPr>
          <w:rFonts w:hint="eastAsia" w:ascii="宋体" w:hAnsi="宋体" w:cs="仿宋_GB2312"/>
          <w:color w:val="000000"/>
          <w:kern w:val="0"/>
          <w:sz w:val="24"/>
        </w:rPr>
        <w:t>(工程名称及备案编号)的招标活动，全权代表我单位签署响应文件，签署合同及处理一切与招标有关的事宜。</w:t>
      </w:r>
    </w:p>
    <w:p>
      <w:pPr>
        <w:spacing w:line="500" w:lineRule="exact"/>
        <w:jc w:val="left"/>
        <w:rPr>
          <w:rFonts w:ascii="宋体" w:hAnsi="宋体" w:cs="仿宋_GB2312"/>
          <w:b/>
          <w:color w:val="000000"/>
          <w:kern w:val="0"/>
          <w:sz w:val="24"/>
        </w:rPr>
      </w:pPr>
      <w:r>
        <w:rPr>
          <w:rFonts w:hint="eastAsia" w:ascii="宋体" w:hAnsi="宋体" w:cs="仿宋_GB2312"/>
          <w:b/>
          <w:color w:val="000000"/>
          <w:kern w:val="0"/>
          <w:sz w:val="24"/>
        </w:rPr>
        <w:t xml:space="preserve">   </w:t>
      </w:r>
    </w:p>
    <w:p>
      <w:pPr>
        <w:spacing w:line="500" w:lineRule="exact"/>
        <w:jc w:val="left"/>
        <w:rPr>
          <w:rFonts w:ascii="宋体" w:hAnsi="宋体" w:cs="仿宋_GB2312"/>
          <w:b/>
          <w:color w:val="000000"/>
          <w:kern w:val="0"/>
          <w:sz w:val="24"/>
        </w:rPr>
      </w:pPr>
      <w:r>
        <w:rPr>
          <w:rFonts w:hint="eastAsia" w:ascii="宋体" w:hAnsi="宋体" w:cs="仿宋_GB2312"/>
          <w:b/>
          <w:color w:val="000000"/>
          <w:kern w:val="0"/>
          <w:sz w:val="24"/>
        </w:rPr>
        <w:t xml:space="preserve">  后附委托代理人身份证复印件。</w:t>
      </w:r>
    </w:p>
    <w:p>
      <w:pPr>
        <w:spacing w:line="500" w:lineRule="exact"/>
        <w:ind w:firstLine="1680" w:firstLineChars="700"/>
        <w:jc w:val="left"/>
        <w:rPr>
          <w:rFonts w:ascii="宋体" w:hAnsi="宋体" w:cs="仿宋_GB2312"/>
          <w:color w:val="000000"/>
          <w:kern w:val="0"/>
          <w:sz w:val="24"/>
        </w:rPr>
      </w:pPr>
      <w:r>
        <w:rPr>
          <w:rFonts w:hint="eastAsia" w:ascii="宋体" w:hAnsi="宋体" w:cs="仿宋_GB2312"/>
          <w:color w:val="000000"/>
          <w:kern w:val="0"/>
          <w:sz w:val="24"/>
        </w:rPr>
        <w:t xml:space="preserve">           </w:t>
      </w:r>
    </w:p>
    <w:p>
      <w:pPr>
        <w:spacing w:line="500" w:lineRule="exact"/>
        <w:ind w:firstLine="1680" w:firstLineChars="700"/>
        <w:jc w:val="left"/>
        <w:rPr>
          <w:rFonts w:ascii="宋体" w:hAnsi="宋体" w:cs="仿宋_GB2312"/>
          <w:color w:val="000000"/>
          <w:kern w:val="0"/>
          <w:sz w:val="24"/>
          <w:szCs w:val="22"/>
        </w:rPr>
      </w:pPr>
      <w:r>
        <w:rPr>
          <w:rFonts w:hint="eastAsia" w:ascii="宋体" w:hAnsi="宋体" w:cs="仿宋_GB2312"/>
          <w:color w:val="000000"/>
          <w:kern w:val="0"/>
          <w:sz w:val="24"/>
        </w:rPr>
        <w:t xml:space="preserve">           </w:t>
      </w:r>
      <w:r>
        <w:rPr>
          <w:rFonts w:hint="eastAsia" w:ascii="宋体" w:hAnsi="宋体" w:cs="仿宋_GB2312"/>
          <w:color w:val="000000"/>
          <w:kern w:val="0"/>
          <w:sz w:val="24"/>
          <w:szCs w:val="22"/>
        </w:rPr>
        <w:t>供应商：</w:t>
      </w:r>
      <w:r>
        <w:rPr>
          <w:rFonts w:hint="eastAsia" w:ascii="宋体" w:hAnsi="宋体" w:cs="仿宋_GB2312"/>
          <w:color w:val="000000"/>
          <w:kern w:val="0"/>
          <w:sz w:val="24"/>
          <w:szCs w:val="22"/>
          <w:u w:val="single"/>
        </w:rPr>
        <w:t xml:space="preserve">             （盖公章）</w:t>
      </w:r>
    </w:p>
    <w:p>
      <w:pPr>
        <w:wordWrap w:val="0"/>
        <w:spacing w:line="500" w:lineRule="exact"/>
        <w:ind w:firstLine="1680" w:firstLineChars="700"/>
        <w:jc w:val="left"/>
        <w:rPr>
          <w:rFonts w:ascii="宋体" w:hAnsi="宋体" w:cs="仿宋_GB2312"/>
          <w:color w:val="000000"/>
          <w:kern w:val="0"/>
          <w:sz w:val="24"/>
          <w:u w:val="single"/>
        </w:rPr>
      </w:pPr>
      <w:r>
        <w:rPr>
          <w:rFonts w:hint="eastAsia" w:ascii="宋体" w:hAnsi="宋体" w:cs="仿宋_GB2312"/>
          <w:color w:val="000000"/>
          <w:kern w:val="0"/>
          <w:sz w:val="24"/>
        </w:rPr>
        <w:t xml:space="preserve">           法定代表人签字或盖章： </w:t>
      </w:r>
      <w:r>
        <w:rPr>
          <w:rFonts w:hint="eastAsia" w:ascii="宋体" w:hAnsi="宋体" w:cs="仿宋_GB2312"/>
          <w:color w:val="000000"/>
          <w:kern w:val="0"/>
          <w:sz w:val="24"/>
          <w:u w:val="single"/>
        </w:rPr>
        <w:t xml:space="preserve">                         </w:t>
      </w:r>
    </w:p>
    <w:p>
      <w:pPr>
        <w:wordWrap w:val="0"/>
        <w:spacing w:line="500" w:lineRule="exact"/>
        <w:ind w:firstLine="1680" w:firstLineChars="700"/>
        <w:jc w:val="left"/>
        <w:rPr>
          <w:rFonts w:ascii="宋体" w:hAnsi="宋体" w:cs="仿宋_GB2312"/>
          <w:color w:val="000000"/>
          <w:kern w:val="0"/>
          <w:sz w:val="24"/>
        </w:rPr>
      </w:pPr>
      <w:r>
        <w:rPr>
          <w:rFonts w:hint="eastAsia" w:ascii="宋体" w:hAnsi="宋体" w:cs="仿宋_GB2312"/>
          <w:color w:val="000000"/>
          <w:kern w:val="0"/>
          <w:sz w:val="24"/>
        </w:rPr>
        <w:t xml:space="preserve">           代理人（被授权人）签字或盖章：</w:t>
      </w:r>
      <w:r>
        <w:rPr>
          <w:rFonts w:hint="eastAsia" w:ascii="宋体" w:hAnsi="宋体" w:cs="仿宋_GB2312"/>
          <w:color w:val="000000"/>
          <w:kern w:val="0"/>
          <w:sz w:val="24"/>
          <w:u w:val="single"/>
        </w:rPr>
        <w:t xml:space="preserve">                     </w:t>
      </w:r>
    </w:p>
    <w:p>
      <w:pPr>
        <w:wordWrap w:val="0"/>
        <w:spacing w:line="500" w:lineRule="exact"/>
        <w:ind w:firstLine="1680" w:firstLineChars="700"/>
        <w:jc w:val="left"/>
        <w:rPr>
          <w:rFonts w:ascii="宋体" w:hAnsi="宋体" w:cs="仿宋_GB2312"/>
          <w:color w:val="000000"/>
          <w:kern w:val="0"/>
          <w:sz w:val="24"/>
          <w:u w:val="single"/>
        </w:rPr>
      </w:pPr>
      <w:r>
        <w:rPr>
          <w:rFonts w:hint="eastAsia" w:ascii="宋体" w:hAnsi="宋体" w:cs="仿宋_GB2312"/>
          <w:color w:val="000000"/>
          <w:kern w:val="0"/>
          <w:sz w:val="24"/>
        </w:rPr>
        <w:t xml:space="preserve">           被授权人职务：</w:t>
      </w:r>
      <w:r>
        <w:rPr>
          <w:rFonts w:hint="eastAsia" w:ascii="宋体" w:hAnsi="宋体" w:cs="仿宋_GB2312"/>
          <w:color w:val="000000"/>
          <w:kern w:val="0"/>
          <w:sz w:val="24"/>
          <w:u w:val="single"/>
        </w:rPr>
        <w:t xml:space="preserve">          </w:t>
      </w:r>
    </w:p>
    <w:p>
      <w:pPr>
        <w:wordWrap w:val="0"/>
        <w:spacing w:line="500" w:lineRule="exact"/>
        <w:ind w:firstLine="3000" w:firstLineChars="1250"/>
        <w:jc w:val="left"/>
        <w:rPr>
          <w:rFonts w:ascii="宋体" w:hAnsi="宋体" w:cs="仿宋_GB2312"/>
          <w:color w:val="000000"/>
          <w:kern w:val="0"/>
          <w:sz w:val="24"/>
          <w:u w:val="single"/>
        </w:rPr>
      </w:pPr>
      <w:r>
        <w:rPr>
          <w:rFonts w:hint="eastAsia" w:ascii="宋体" w:hAnsi="宋体" w:cs="仿宋_GB2312"/>
          <w:color w:val="000000"/>
          <w:kern w:val="0"/>
          <w:sz w:val="24"/>
        </w:rPr>
        <w:t>身份证号码：</w:t>
      </w:r>
      <w:r>
        <w:rPr>
          <w:rFonts w:hint="eastAsia" w:ascii="宋体" w:hAnsi="宋体" w:cs="仿宋_GB2312"/>
          <w:color w:val="000000"/>
          <w:kern w:val="0"/>
          <w:sz w:val="24"/>
          <w:u w:val="single"/>
        </w:rPr>
        <w:t xml:space="preserve">                     </w:t>
      </w:r>
    </w:p>
    <w:p>
      <w:pPr>
        <w:spacing w:line="500" w:lineRule="exact"/>
        <w:ind w:firstLine="2880" w:firstLineChars="1200"/>
        <w:jc w:val="left"/>
        <w:rPr>
          <w:rFonts w:ascii="宋体" w:hAnsi="宋体" w:cs="仿宋_GB2312"/>
          <w:color w:val="000000"/>
          <w:kern w:val="0"/>
          <w:sz w:val="24"/>
          <w:u w:val="single"/>
        </w:rPr>
      </w:pPr>
      <w:r>
        <w:rPr>
          <w:rFonts w:hint="eastAsia" w:ascii="宋体" w:hAnsi="宋体" w:cs="仿宋_GB2312"/>
          <w:color w:val="000000"/>
          <w:kern w:val="0"/>
          <w:sz w:val="24"/>
        </w:rPr>
        <w:t xml:space="preserve">                                 </w:t>
      </w:r>
      <w:r>
        <w:rPr>
          <w:rFonts w:hint="eastAsia" w:ascii="宋体" w:hAnsi="宋体" w:cs="仿宋_GB2312"/>
          <w:color w:val="000000"/>
          <w:kern w:val="0"/>
          <w:sz w:val="24"/>
          <w:u w:val="single"/>
        </w:rPr>
        <w:t xml:space="preserve">    </w:t>
      </w:r>
      <w:r>
        <w:rPr>
          <w:rFonts w:hint="eastAsia" w:ascii="宋体" w:hAnsi="宋体" w:cs="仿宋_GB2312"/>
          <w:color w:val="000000"/>
          <w:kern w:val="0"/>
          <w:sz w:val="24"/>
        </w:rPr>
        <w:t>年</w:t>
      </w:r>
      <w:r>
        <w:rPr>
          <w:rFonts w:hint="eastAsia" w:ascii="宋体" w:hAnsi="宋体" w:cs="仿宋_GB2312"/>
          <w:color w:val="000000"/>
          <w:kern w:val="0"/>
          <w:sz w:val="24"/>
          <w:u w:val="single"/>
        </w:rPr>
        <w:t xml:space="preserve">    </w:t>
      </w:r>
      <w:r>
        <w:rPr>
          <w:rFonts w:hint="eastAsia" w:ascii="宋体" w:hAnsi="宋体" w:cs="仿宋_GB2312"/>
          <w:color w:val="000000"/>
          <w:kern w:val="0"/>
          <w:sz w:val="24"/>
        </w:rPr>
        <w:t>月</w:t>
      </w:r>
      <w:r>
        <w:rPr>
          <w:rFonts w:hint="eastAsia" w:ascii="宋体" w:hAnsi="宋体" w:cs="仿宋_GB2312"/>
          <w:color w:val="000000"/>
          <w:kern w:val="0"/>
          <w:sz w:val="24"/>
          <w:u w:val="single"/>
        </w:rPr>
        <w:t xml:space="preserve">    </w:t>
      </w:r>
      <w:r>
        <w:rPr>
          <w:rFonts w:hint="eastAsia" w:ascii="宋体" w:hAnsi="宋体" w:cs="仿宋_GB2312"/>
          <w:color w:val="000000"/>
          <w:kern w:val="0"/>
          <w:sz w:val="24"/>
        </w:rPr>
        <w:t>日</w:t>
      </w:r>
    </w:p>
    <w:p>
      <w:pPr>
        <w:snapToGrid w:val="0"/>
        <w:spacing w:line="360" w:lineRule="auto"/>
        <w:jc w:val="center"/>
        <w:rPr>
          <w:rFonts w:ascii="宋体" w:hAnsi="宋体" w:cs="仿宋_GB2312"/>
          <w:b/>
          <w:color w:val="000000"/>
          <w:kern w:val="0"/>
          <w:sz w:val="24"/>
          <w:szCs w:val="22"/>
        </w:rPr>
      </w:pPr>
      <w:r>
        <w:rPr>
          <w:rFonts w:hint="eastAsia" w:ascii="宋体" w:hAnsi="宋体" w:cs="仿宋_GB2312"/>
          <w:b/>
          <w:bCs/>
          <w:color w:val="000000"/>
          <w:kern w:val="0"/>
          <w:sz w:val="24"/>
          <w:szCs w:val="22"/>
        </w:rPr>
        <w:br w:type="page"/>
      </w:r>
      <w:bookmarkEnd w:id="140"/>
      <w:r>
        <w:rPr>
          <w:rFonts w:hint="eastAsia" w:ascii="宋体" w:hAnsi="宋体" w:cs="仿宋_GB2312"/>
          <w:b/>
          <w:bCs/>
          <w:color w:val="000000"/>
          <w:kern w:val="0"/>
          <w:sz w:val="24"/>
          <w:szCs w:val="22"/>
        </w:rPr>
        <w:t>三、</w:t>
      </w:r>
      <w:r>
        <w:rPr>
          <w:rFonts w:hint="eastAsia" w:ascii="宋体" w:hAnsi="宋体" w:cs="仿宋_GB2312"/>
          <w:b/>
          <w:color w:val="000000"/>
          <w:kern w:val="0"/>
          <w:sz w:val="24"/>
          <w:szCs w:val="22"/>
        </w:rPr>
        <w:t>投  标  函</w:t>
      </w:r>
    </w:p>
    <w:p>
      <w:pPr>
        <w:spacing w:line="320" w:lineRule="exact"/>
        <w:jc w:val="left"/>
        <w:rPr>
          <w:rFonts w:ascii="宋体" w:hAnsi="宋体" w:cs="仿宋_GB2312"/>
          <w:color w:val="000000"/>
          <w:kern w:val="0"/>
          <w:sz w:val="24"/>
        </w:rPr>
      </w:pPr>
      <w:r>
        <w:rPr>
          <w:rFonts w:hint="eastAsia" w:ascii="宋体" w:hAnsi="宋体" w:cs="仿宋_GB2312"/>
          <w:color w:val="000000"/>
          <w:kern w:val="0"/>
          <w:sz w:val="24"/>
        </w:rPr>
        <w:t>致：</w:t>
      </w:r>
      <w:r>
        <w:rPr>
          <w:rFonts w:hint="eastAsia" w:ascii="宋体" w:hAnsi="宋体" w:cs="仿宋_GB2312"/>
          <w:color w:val="000000"/>
          <w:kern w:val="0"/>
          <w:sz w:val="24"/>
          <w:u w:val="single"/>
        </w:rPr>
        <w:t xml:space="preserve">                  </w:t>
      </w:r>
      <w:r>
        <w:rPr>
          <w:rFonts w:hint="eastAsia" w:ascii="宋体" w:hAnsi="宋体" w:cs="仿宋_GB2312"/>
          <w:color w:val="000000"/>
          <w:kern w:val="0"/>
          <w:sz w:val="24"/>
        </w:rPr>
        <w:t>（招标人名称）</w:t>
      </w:r>
    </w:p>
    <w:p>
      <w:pPr>
        <w:spacing w:line="320" w:lineRule="exact"/>
        <w:ind w:firstLine="480" w:firstLineChars="200"/>
        <w:jc w:val="left"/>
        <w:rPr>
          <w:rFonts w:ascii="宋体" w:hAnsi="宋体" w:cs="仿宋_GB2312"/>
          <w:color w:val="000000"/>
          <w:kern w:val="0"/>
          <w:sz w:val="24"/>
        </w:rPr>
      </w:pPr>
      <w:r>
        <w:rPr>
          <w:rFonts w:hint="eastAsia" w:ascii="宋体" w:hAnsi="宋体" w:cs="仿宋_GB2312"/>
          <w:color w:val="000000"/>
          <w:kern w:val="0"/>
          <w:sz w:val="24"/>
        </w:rPr>
        <w:t>1.我方已仔细研究了</w:t>
      </w:r>
      <w:r>
        <w:rPr>
          <w:rFonts w:hint="eastAsia" w:ascii="宋体" w:hAnsi="宋体" w:cs="仿宋_GB2312"/>
          <w:color w:val="000000"/>
          <w:kern w:val="0"/>
          <w:sz w:val="24"/>
          <w:u w:val="single"/>
        </w:rPr>
        <w:t xml:space="preserve">            </w:t>
      </w:r>
      <w:r>
        <w:rPr>
          <w:rFonts w:hint="eastAsia" w:ascii="宋体" w:hAnsi="宋体" w:cs="仿宋_GB2312"/>
          <w:color w:val="000000"/>
          <w:kern w:val="0"/>
          <w:sz w:val="24"/>
        </w:rPr>
        <w:t>（备案编号）</w:t>
      </w:r>
      <w:r>
        <w:rPr>
          <w:rFonts w:hint="eastAsia" w:ascii="宋体" w:hAnsi="宋体" w:cs="仿宋_GB2312"/>
          <w:color w:val="000000"/>
          <w:kern w:val="0"/>
          <w:sz w:val="24"/>
          <w:u w:val="single"/>
        </w:rPr>
        <w:t xml:space="preserve">               </w:t>
      </w:r>
      <w:r>
        <w:rPr>
          <w:rFonts w:hint="eastAsia" w:ascii="宋体" w:hAnsi="宋体" w:cs="仿宋_GB2312"/>
          <w:color w:val="000000"/>
          <w:kern w:val="0"/>
          <w:sz w:val="24"/>
        </w:rPr>
        <w:t>（项目名称）施工比选文件的全部内容，经考察项目现场和研究上述工程比选文件要求及其他招标资料后，愿意以</w:t>
      </w:r>
      <w:r>
        <w:rPr>
          <w:rFonts w:hint="eastAsia" w:ascii="宋体" w:hAnsi="宋体" w:cs="仿宋_GB2312"/>
          <w:b/>
          <w:color w:val="000000"/>
          <w:kern w:val="0"/>
          <w:sz w:val="24"/>
          <w:u w:val="single"/>
        </w:rPr>
        <w:t>商务标中确定的投标总报价</w:t>
      </w:r>
      <w:r>
        <w:rPr>
          <w:rFonts w:hint="eastAsia" w:ascii="宋体" w:hAnsi="宋体" w:cs="仿宋_GB2312"/>
          <w:color w:val="000000"/>
          <w:kern w:val="0"/>
          <w:sz w:val="24"/>
        </w:rPr>
        <w:t>，</w:t>
      </w:r>
      <w:r>
        <w:rPr>
          <w:rFonts w:hint="eastAsia" w:ascii="宋体" w:hAnsi="宋体" w:cs="仿宋_GB2312"/>
          <w:b/>
          <w:color w:val="000000"/>
          <w:kern w:val="0"/>
          <w:sz w:val="24"/>
        </w:rPr>
        <w:t>总工期</w:t>
      </w:r>
      <w:r>
        <w:rPr>
          <w:rFonts w:hint="eastAsia" w:ascii="宋体" w:hAnsi="宋体" w:cs="仿宋_GB2312"/>
          <w:b/>
          <w:color w:val="000000"/>
          <w:kern w:val="0"/>
          <w:sz w:val="24"/>
          <w:u w:val="single"/>
        </w:rPr>
        <w:t xml:space="preserve">       </w:t>
      </w:r>
      <w:r>
        <w:rPr>
          <w:rFonts w:hint="eastAsia" w:ascii="宋体" w:hAnsi="宋体" w:cs="仿宋_GB2312"/>
          <w:b/>
          <w:color w:val="000000"/>
          <w:kern w:val="0"/>
          <w:sz w:val="24"/>
        </w:rPr>
        <w:t>日历天</w:t>
      </w:r>
      <w:r>
        <w:rPr>
          <w:rFonts w:hint="eastAsia" w:ascii="宋体" w:hAnsi="宋体" w:cs="仿宋_GB2312"/>
          <w:color w:val="000000"/>
          <w:kern w:val="0"/>
          <w:sz w:val="24"/>
        </w:rPr>
        <w:t>，按合同约定实施和完成承包工期，修补工程中的任何缺陷，</w:t>
      </w:r>
      <w:r>
        <w:rPr>
          <w:rFonts w:hint="eastAsia" w:ascii="宋体" w:hAnsi="宋体" w:cs="仿宋_GB2312"/>
          <w:b/>
          <w:color w:val="000000"/>
          <w:kern w:val="0"/>
          <w:sz w:val="24"/>
        </w:rPr>
        <w:t>工程质量达到</w:t>
      </w:r>
      <w:r>
        <w:rPr>
          <w:rFonts w:hint="eastAsia" w:ascii="宋体" w:hAnsi="宋体" w:cs="仿宋_GB2312"/>
          <w:b/>
          <w:color w:val="000000"/>
          <w:kern w:val="0"/>
          <w:sz w:val="24"/>
          <w:u w:val="single"/>
        </w:rPr>
        <w:t xml:space="preserve"> 合格 </w:t>
      </w:r>
      <w:r>
        <w:rPr>
          <w:rFonts w:hint="eastAsia" w:ascii="宋体" w:hAnsi="宋体" w:cs="仿宋_GB2312"/>
          <w:b/>
          <w:color w:val="000000"/>
          <w:kern w:val="0"/>
          <w:sz w:val="24"/>
        </w:rPr>
        <w:t>标准，质保期</w:t>
      </w:r>
      <w:r>
        <w:rPr>
          <w:rFonts w:hint="eastAsia" w:ascii="宋体" w:hAnsi="宋体" w:cs="仿宋_GB2312"/>
          <w:b/>
          <w:color w:val="000000"/>
          <w:kern w:val="0"/>
          <w:sz w:val="24"/>
          <w:u w:val="single"/>
        </w:rPr>
        <w:t xml:space="preserve">     </w:t>
      </w:r>
      <w:r>
        <w:rPr>
          <w:rFonts w:hint="eastAsia" w:ascii="宋体" w:hAnsi="宋体" w:cs="仿宋_GB2312"/>
          <w:b/>
          <w:color w:val="000000"/>
          <w:kern w:val="0"/>
          <w:sz w:val="24"/>
        </w:rPr>
        <w:t>年</w:t>
      </w:r>
      <w:r>
        <w:rPr>
          <w:rFonts w:hint="eastAsia" w:ascii="宋体" w:hAnsi="宋体" w:cs="仿宋_GB2312"/>
          <w:color w:val="000000"/>
          <w:kern w:val="0"/>
          <w:sz w:val="24"/>
        </w:rPr>
        <w:t>。</w:t>
      </w:r>
    </w:p>
    <w:p>
      <w:pPr>
        <w:spacing w:line="320" w:lineRule="exact"/>
        <w:ind w:firstLine="480" w:firstLineChars="200"/>
        <w:jc w:val="left"/>
        <w:rPr>
          <w:rFonts w:ascii="宋体" w:hAnsi="宋体" w:cs="仿宋_GB2312"/>
          <w:color w:val="000000"/>
          <w:kern w:val="0"/>
          <w:sz w:val="24"/>
        </w:rPr>
      </w:pPr>
      <w:r>
        <w:rPr>
          <w:rFonts w:hint="eastAsia" w:ascii="宋体" w:hAnsi="宋体" w:cs="仿宋_GB2312"/>
          <w:color w:val="000000"/>
          <w:kern w:val="0"/>
          <w:sz w:val="24"/>
        </w:rPr>
        <w:t>2.我方承诺在响应有效期内不修改、撤销响应文件。</w:t>
      </w:r>
    </w:p>
    <w:p>
      <w:pPr>
        <w:spacing w:line="320" w:lineRule="exact"/>
        <w:ind w:firstLine="480" w:firstLineChars="200"/>
        <w:jc w:val="left"/>
        <w:rPr>
          <w:rFonts w:ascii="宋体" w:hAnsi="宋体" w:cs="仿宋_GB2312"/>
          <w:color w:val="000000"/>
          <w:kern w:val="0"/>
          <w:sz w:val="24"/>
        </w:rPr>
      </w:pPr>
      <w:r>
        <w:rPr>
          <w:rFonts w:hint="eastAsia" w:ascii="宋体" w:hAnsi="宋体" w:cs="仿宋_GB2312"/>
          <w:color w:val="000000"/>
          <w:kern w:val="0"/>
          <w:sz w:val="24"/>
        </w:rPr>
        <w:t>3.如我方中标，我方拟派</w:t>
      </w:r>
      <w:r>
        <w:rPr>
          <w:rFonts w:hint="eastAsia" w:ascii="宋体" w:hAnsi="宋体" w:cs="仿宋_GB2312"/>
          <w:color w:val="000000"/>
          <w:kern w:val="0"/>
          <w:sz w:val="24"/>
          <w:u w:val="single"/>
        </w:rPr>
        <w:t xml:space="preserve">        </w:t>
      </w:r>
      <w:r>
        <w:rPr>
          <w:rFonts w:hint="eastAsia" w:ascii="宋体" w:hAnsi="宋体" w:cs="仿宋_GB2312"/>
          <w:color w:val="000000"/>
          <w:kern w:val="0"/>
          <w:sz w:val="24"/>
        </w:rPr>
        <w:t>为本工程项目负责人，其项目负责人资质为</w:t>
      </w:r>
      <w:r>
        <w:rPr>
          <w:rFonts w:hint="eastAsia" w:ascii="宋体" w:hAnsi="宋体" w:cs="仿宋_GB2312"/>
          <w:color w:val="000000"/>
          <w:kern w:val="0"/>
          <w:sz w:val="24"/>
          <w:u w:val="single"/>
        </w:rPr>
        <w:t xml:space="preserve">     </w:t>
      </w:r>
      <w:r>
        <w:rPr>
          <w:rFonts w:hint="eastAsia" w:ascii="宋体" w:hAnsi="宋体" w:cs="仿宋_GB2312"/>
          <w:color w:val="000000"/>
          <w:kern w:val="0"/>
          <w:sz w:val="24"/>
        </w:rPr>
        <w:t>（专业）</w:t>
      </w:r>
      <w:r>
        <w:rPr>
          <w:rFonts w:hint="eastAsia" w:ascii="宋体" w:hAnsi="宋体" w:cs="仿宋_GB2312"/>
          <w:color w:val="000000"/>
          <w:kern w:val="0"/>
          <w:sz w:val="24"/>
          <w:u w:val="single"/>
        </w:rPr>
        <w:t xml:space="preserve">    </w:t>
      </w:r>
      <w:r>
        <w:rPr>
          <w:rFonts w:hint="eastAsia" w:ascii="宋体" w:hAnsi="宋体" w:cs="仿宋_GB2312"/>
          <w:color w:val="000000"/>
          <w:kern w:val="0"/>
          <w:sz w:val="24"/>
        </w:rPr>
        <w:t>级建造师。</w:t>
      </w:r>
    </w:p>
    <w:p>
      <w:pPr>
        <w:spacing w:line="320" w:lineRule="exact"/>
        <w:ind w:firstLine="480" w:firstLineChars="200"/>
        <w:jc w:val="left"/>
        <w:rPr>
          <w:rFonts w:ascii="宋体" w:hAnsi="宋体" w:cs="仿宋_GB2312"/>
          <w:color w:val="000000"/>
          <w:kern w:val="0"/>
          <w:sz w:val="24"/>
        </w:rPr>
      </w:pPr>
      <w:r>
        <w:rPr>
          <w:rFonts w:hint="eastAsia" w:ascii="宋体" w:hAnsi="宋体" w:cs="仿宋_GB2312"/>
          <w:color w:val="000000"/>
          <w:kern w:val="0"/>
          <w:sz w:val="24"/>
        </w:rPr>
        <w:t>4.随同本投标函提交响应保证金一份，金额为人民币（大写）</w:t>
      </w:r>
      <w:r>
        <w:rPr>
          <w:rFonts w:hint="eastAsia" w:ascii="宋体" w:hAnsi="宋体" w:cs="仿宋_GB2312"/>
          <w:color w:val="000000"/>
          <w:kern w:val="0"/>
          <w:sz w:val="24"/>
          <w:u w:val="single"/>
        </w:rPr>
        <w:t xml:space="preserve">     </w:t>
      </w:r>
      <w:r>
        <w:rPr>
          <w:rFonts w:hint="eastAsia" w:ascii="宋体" w:hAnsi="宋体" w:cs="仿宋_GB2312"/>
          <w:color w:val="000000"/>
          <w:kern w:val="0"/>
          <w:sz w:val="24"/>
        </w:rPr>
        <w:t>元（￥</w:t>
      </w:r>
      <w:r>
        <w:rPr>
          <w:rFonts w:hint="eastAsia" w:ascii="宋体" w:hAnsi="宋体" w:cs="仿宋_GB2312"/>
          <w:color w:val="000000"/>
          <w:kern w:val="0"/>
          <w:sz w:val="24"/>
          <w:u w:val="single"/>
        </w:rPr>
        <w:t xml:space="preserve">        </w:t>
      </w:r>
      <w:r>
        <w:rPr>
          <w:rFonts w:hint="eastAsia" w:ascii="宋体" w:hAnsi="宋体" w:cs="仿宋_GB2312"/>
          <w:color w:val="000000"/>
          <w:kern w:val="0"/>
          <w:sz w:val="24"/>
        </w:rPr>
        <w:t>）。</w:t>
      </w:r>
    </w:p>
    <w:p>
      <w:pPr>
        <w:spacing w:line="320" w:lineRule="exact"/>
        <w:ind w:firstLine="480" w:firstLineChars="200"/>
        <w:jc w:val="left"/>
        <w:rPr>
          <w:rFonts w:ascii="宋体" w:hAnsi="宋体" w:cs="仿宋_GB2312"/>
          <w:color w:val="000000"/>
          <w:kern w:val="0"/>
          <w:sz w:val="24"/>
        </w:rPr>
      </w:pPr>
      <w:r>
        <w:rPr>
          <w:rFonts w:hint="eastAsia" w:ascii="宋体" w:hAnsi="宋体" w:cs="仿宋_GB2312"/>
          <w:color w:val="000000"/>
          <w:kern w:val="0"/>
          <w:sz w:val="24"/>
        </w:rPr>
        <w:t>5.如我方中标：</w:t>
      </w:r>
    </w:p>
    <w:p>
      <w:pPr>
        <w:spacing w:line="320" w:lineRule="exact"/>
        <w:ind w:firstLine="360" w:firstLineChars="150"/>
        <w:jc w:val="left"/>
        <w:rPr>
          <w:rFonts w:ascii="宋体" w:hAnsi="宋体" w:cs="仿宋_GB2312"/>
          <w:color w:val="000000"/>
          <w:kern w:val="0"/>
          <w:sz w:val="24"/>
        </w:rPr>
      </w:pPr>
      <w:r>
        <w:rPr>
          <w:rFonts w:hint="eastAsia" w:ascii="宋体" w:hAnsi="宋体" w:cs="仿宋_GB2312"/>
          <w:color w:val="000000"/>
          <w:kern w:val="0"/>
          <w:sz w:val="24"/>
        </w:rPr>
        <w:t>（1）我方承诺在收到成交通知书后，在成交通知书规定的期限内与你方签订合同。</w:t>
      </w:r>
    </w:p>
    <w:p>
      <w:pPr>
        <w:spacing w:line="320" w:lineRule="exact"/>
        <w:ind w:firstLine="360" w:firstLineChars="150"/>
        <w:jc w:val="left"/>
        <w:rPr>
          <w:rFonts w:ascii="宋体" w:hAnsi="宋体" w:cs="仿宋_GB2312"/>
          <w:color w:val="000000"/>
          <w:kern w:val="0"/>
          <w:sz w:val="24"/>
        </w:rPr>
      </w:pPr>
      <w:r>
        <w:rPr>
          <w:rFonts w:hint="eastAsia" w:ascii="宋体" w:hAnsi="宋体" w:cs="仿宋_GB2312"/>
          <w:color w:val="000000"/>
          <w:kern w:val="0"/>
          <w:sz w:val="24"/>
        </w:rPr>
        <w:t>（2）随同本投标函递交的投标函附录属于合同文件的组成部分。</w:t>
      </w:r>
    </w:p>
    <w:p>
      <w:pPr>
        <w:spacing w:line="320" w:lineRule="exact"/>
        <w:ind w:firstLine="360" w:firstLineChars="150"/>
        <w:jc w:val="left"/>
        <w:rPr>
          <w:rFonts w:ascii="宋体" w:hAnsi="宋体" w:cs="仿宋_GB2312"/>
          <w:color w:val="000000"/>
          <w:kern w:val="0"/>
          <w:sz w:val="24"/>
        </w:rPr>
      </w:pPr>
      <w:r>
        <w:rPr>
          <w:rFonts w:hint="eastAsia" w:ascii="宋体" w:hAnsi="宋体" w:cs="仿宋_GB2312"/>
          <w:color w:val="000000"/>
          <w:kern w:val="0"/>
          <w:sz w:val="24"/>
        </w:rPr>
        <w:t>（3）我方承诺按照比选文件规定向你方递交履约担保。</w:t>
      </w:r>
    </w:p>
    <w:p>
      <w:pPr>
        <w:spacing w:line="320" w:lineRule="exact"/>
        <w:ind w:firstLine="360" w:firstLineChars="150"/>
        <w:jc w:val="left"/>
        <w:rPr>
          <w:rFonts w:ascii="宋体" w:hAnsi="宋体" w:cs="仿宋_GB2312"/>
          <w:color w:val="000000"/>
          <w:kern w:val="0"/>
          <w:sz w:val="24"/>
        </w:rPr>
      </w:pPr>
      <w:r>
        <w:rPr>
          <w:rFonts w:hint="eastAsia" w:ascii="宋体" w:hAnsi="宋体" w:cs="仿宋_GB2312"/>
          <w:color w:val="000000"/>
          <w:kern w:val="0"/>
          <w:sz w:val="24"/>
        </w:rPr>
        <w:t>（4）我方承诺在合同约定的期限内完成并移交全部合同工程，否则无条件接受招标人及相应部门做出的一切处罚和决定。</w:t>
      </w:r>
    </w:p>
    <w:p>
      <w:pPr>
        <w:spacing w:line="320" w:lineRule="exact"/>
        <w:ind w:firstLine="360" w:firstLineChars="150"/>
        <w:jc w:val="left"/>
        <w:rPr>
          <w:rFonts w:ascii="宋体" w:hAnsi="宋体" w:cs="仿宋_GB2312"/>
          <w:color w:val="000000"/>
          <w:kern w:val="0"/>
          <w:sz w:val="24"/>
        </w:rPr>
      </w:pPr>
      <w:r>
        <w:rPr>
          <w:rFonts w:hint="eastAsia" w:ascii="宋体" w:hAnsi="宋体" w:cs="仿宋_GB2312"/>
          <w:color w:val="000000"/>
          <w:kern w:val="0"/>
          <w:sz w:val="24"/>
        </w:rPr>
        <w:t>（5）我方承诺本投标函在比选文件规定的提交响应文件截止时间后，在比选文件规定的响应有效期期满前对我方具有约束力，且随时准备接受你方发出的成交通知书。</w:t>
      </w:r>
    </w:p>
    <w:p>
      <w:pPr>
        <w:spacing w:line="320" w:lineRule="exact"/>
        <w:ind w:firstLine="360" w:firstLineChars="150"/>
        <w:jc w:val="left"/>
        <w:rPr>
          <w:rFonts w:ascii="宋体" w:hAnsi="宋体" w:cs="仿宋_GB2312"/>
          <w:color w:val="000000"/>
          <w:kern w:val="0"/>
          <w:sz w:val="24"/>
        </w:rPr>
      </w:pPr>
      <w:r>
        <w:rPr>
          <w:rFonts w:hint="eastAsia" w:ascii="宋体" w:hAnsi="宋体" w:cs="仿宋_GB2312"/>
          <w:color w:val="000000"/>
          <w:kern w:val="0"/>
          <w:sz w:val="24"/>
        </w:rPr>
        <w:t>（6）我方承诺，按规定缴纳农民工工资保证金，且在本项目施工过程中按时支付农民工工资。</w:t>
      </w:r>
    </w:p>
    <w:p>
      <w:pPr>
        <w:spacing w:line="320" w:lineRule="exact"/>
        <w:ind w:firstLine="600" w:firstLineChars="250"/>
        <w:jc w:val="left"/>
        <w:rPr>
          <w:rFonts w:ascii="宋体" w:hAnsi="宋体" w:cs="仿宋_GB2312"/>
          <w:color w:val="000000"/>
          <w:kern w:val="0"/>
          <w:sz w:val="24"/>
        </w:rPr>
      </w:pPr>
      <w:r>
        <w:rPr>
          <w:rFonts w:hint="eastAsia" w:ascii="宋体" w:hAnsi="宋体" w:cs="仿宋_GB2312"/>
          <w:color w:val="000000"/>
          <w:kern w:val="0"/>
          <w:sz w:val="24"/>
        </w:rPr>
        <w:t>6.我方在此声明，所递交的响应文件及有关资料内容完整、真实和准确，且不存在比选文件第二章“供应商须知”第1.4.3条规定的任何一种情形。</w:t>
      </w:r>
    </w:p>
    <w:p>
      <w:pPr>
        <w:spacing w:line="320" w:lineRule="exact"/>
        <w:ind w:firstLine="600" w:firstLineChars="250"/>
        <w:jc w:val="left"/>
        <w:rPr>
          <w:rFonts w:ascii="宋体" w:hAnsi="宋体" w:cs="仿宋_GB2312"/>
          <w:color w:val="000000"/>
          <w:kern w:val="0"/>
          <w:sz w:val="24"/>
        </w:rPr>
      </w:pPr>
      <w:r>
        <w:rPr>
          <w:rFonts w:hint="eastAsia" w:ascii="宋体" w:hAnsi="宋体" w:cs="仿宋_GB2312"/>
          <w:color w:val="000000"/>
          <w:kern w:val="0"/>
          <w:sz w:val="24"/>
        </w:rPr>
        <w:t xml:space="preserve">7. </w:t>
      </w:r>
      <w:r>
        <w:rPr>
          <w:rFonts w:hint="eastAsia" w:ascii="宋体" w:hAnsi="宋体" w:cs="仿宋_GB2312"/>
          <w:color w:val="000000"/>
          <w:kern w:val="0"/>
          <w:sz w:val="24"/>
          <w:u w:val="single"/>
        </w:rPr>
        <w:t xml:space="preserve">                             </w:t>
      </w:r>
      <w:r>
        <w:rPr>
          <w:rFonts w:hint="eastAsia" w:ascii="宋体" w:hAnsi="宋体" w:cs="仿宋_GB2312"/>
          <w:color w:val="000000"/>
          <w:kern w:val="0"/>
          <w:sz w:val="24"/>
        </w:rPr>
        <w:t>（其他补充说明）。</w:t>
      </w:r>
    </w:p>
    <w:p>
      <w:pPr>
        <w:spacing w:line="320" w:lineRule="exact"/>
        <w:ind w:firstLine="600" w:firstLineChars="250"/>
        <w:jc w:val="left"/>
        <w:rPr>
          <w:rFonts w:ascii="宋体" w:hAnsi="宋体" w:cs="仿宋_GB2312"/>
          <w:color w:val="000000"/>
          <w:kern w:val="0"/>
          <w:sz w:val="24"/>
        </w:rPr>
      </w:pPr>
      <w:r>
        <w:rPr>
          <w:rFonts w:hint="eastAsia" w:ascii="宋体" w:hAnsi="宋体" w:cs="仿宋_GB2312"/>
          <w:color w:val="000000"/>
          <w:kern w:val="0"/>
          <w:sz w:val="24"/>
        </w:rPr>
        <w:t>如我方违背了上述承诺，本项目招标人有权取消我方的中标资格，并由招标人将我方的违约行为上报相关主管部门，记不良记录。</w:t>
      </w:r>
    </w:p>
    <w:p>
      <w:pPr>
        <w:spacing w:line="320" w:lineRule="exact"/>
        <w:ind w:firstLine="360" w:firstLineChars="150"/>
        <w:jc w:val="left"/>
        <w:rPr>
          <w:rFonts w:ascii="宋体" w:hAnsi="宋体" w:cs="仿宋_GB2312"/>
          <w:color w:val="000000"/>
          <w:kern w:val="0"/>
          <w:sz w:val="24"/>
        </w:rPr>
      </w:pPr>
      <w:r>
        <w:rPr>
          <w:rFonts w:hint="eastAsia" w:ascii="宋体" w:hAnsi="宋体" w:cs="仿宋_GB2312"/>
          <w:color w:val="000000"/>
          <w:kern w:val="0"/>
          <w:sz w:val="24"/>
        </w:rPr>
        <w:t>投 标人：</w:t>
      </w:r>
      <w:r>
        <w:rPr>
          <w:rFonts w:hint="eastAsia" w:ascii="宋体" w:hAnsi="宋体" w:cs="仿宋_GB2312"/>
          <w:color w:val="000000"/>
          <w:kern w:val="0"/>
          <w:sz w:val="24"/>
          <w:u w:val="single"/>
        </w:rPr>
        <w:t xml:space="preserve">                 </w:t>
      </w:r>
      <w:r>
        <w:rPr>
          <w:rFonts w:hint="eastAsia" w:ascii="宋体" w:hAnsi="宋体" w:cs="仿宋_GB2312"/>
          <w:color w:val="000000"/>
          <w:kern w:val="0"/>
          <w:sz w:val="24"/>
        </w:rPr>
        <w:t>（盖单位章）</w:t>
      </w:r>
      <w:r>
        <w:rPr>
          <w:rFonts w:hint="eastAsia" w:ascii="宋体" w:hAnsi="宋体" w:cs="仿宋_GB2312"/>
          <w:color w:val="000000"/>
          <w:kern w:val="0"/>
          <w:sz w:val="24"/>
          <w:u w:val="single"/>
        </w:rPr>
        <w:t xml:space="preserve">                  </w:t>
      </w:r>
    </w:p>
    <w:p>
      <w:pPr>
        <w:spacing w:line="320" w:lineRule="exact"/>
        <w:ind w:firstLine="360" w:firstLineChars="150"/>
        <w:jc w:val="left"/>
        <w:rPr>
          <w:rFonts w:ascii="宋体" w:hAnsi="宋体" w:cs="仿宋_GB2312"/>
          <w:color w:val="000000"/>
          <w:kern w:val="0"/>
          <w:sz w:val="24"/>
        </w:rPr>
      </w:pPr>
      <w:r>
        <w:rPr>
          <w:rFonts w:hint="eastAsia" w:ascii="宋体" w:hAnsi="宋体" w:cs="仿宋_GB2312"/>
          <w:color w:val="000000"/>
          <w:kern w:val="0"/>
          <w:sz w:val="24"/>
        </w:rPr>
        <w:t>法定代表人或</w:t>
      </w:r>
    </w:p>
    <w:p>
      <w:pPr>
        <w:spacing w:line="320" w:lineRule="exact"/>
        <w:ind w:firstLine="360" w:firstLineChars="150"/>
        <w:jc w:val="left"/>
        <w:rPr>
          <w:rFonts w:ascii="宋体" w:hAnsi="宋体" w:cs="仿宋_GB2312"/>
          <w:color w:val="000000"/>
          <w:kern w:val="0"/>
          <w:sz w:val="24"/>
        </w:rPr>
      </w:pPr>
      <w:r>
        <w:rPr>
          <w:rFonts w:hint="eastAsia" w:ascii="宋体" w:hAnsi="宋体" w:cs="仿宋_GB2312"/>
          <w:color w:val="000000"/>
          <w:kern w:val="0"/>
          <w:sz w:val="24"/>
        </w:rPr>
        <w:t>其委托代理人：</w:t>
      </w:r>
      <w:r>
        <w:rPr>
          <w:rFonts w:hint="eastAsia" w:ascii="宋体" w:hAnsi="宋体" w:cs="仿宋_GB2312"/>
          <w:color w:val="000000"/>
          <w:kern w:val="0"/>
          <w:sz w:val="24"/>
          <w:u w:val="single"/>
        </w:rPr>
        <w:t xml:space="preserve">               </w:t>
      </w:r>
      <w:r>
        <w:rPr>
          <w:rFonts w:hint="eastAsia" w:ascii="宋体" w:hAnsi="宋体" w:cs="仿宋_GB2312"/>
          <w:color w:val="000000"/>
          <w:kern w:val="0"/>
          <w:sz w:val="24"/>
        </w:rPr>
        <w:t>（签字或盖章）</w:t>
      </w:r>
      <w:r>
        <w:rPr>
          <w:rFonts w:hint="eastAsia" w:ascii="宋体" w:hAnsi="宋体" w:cs="仿宋_GB2312"/>
          <w:color w:val="000000"/>
          <w:kern w:val="0"/>
          <w:sz w:val="24"/>
          <w:u w:val="single"/>
        </w:rPr>
        <w:t xml:space="preserve">               </w:t>
      </w:r>
    </w:p>
    <w:p>
      <w:pPr>
        <w:wordWrap w:val="0"/>
        <w:spacing w:line="320" w:lineRule="exact"/>
        <w:ind w:firstLine="360" w:firstLineChars="150"/>
        <w:jc w:val="left"/>
        <w:rPr>
          <w:rFonts w:ascii="宋体" w:hAnsi="宋体" w:cs="仿宋_GB2312"/>
          <w:color w:val="000000"/>
          <w:kern w:val="0"/>
          <w:sz w:val="24"/>
        </w:rPr>
      </w:pPr>
      <w:r>
        <w:rPr>
          <w:rFonts w:hint="eastAsia" w:ascii="宋体" w:hAnsi="宋体" w:cs="仿宋_GB2312"/>
          <w:color w:val="000000"/>
          <w:kern w:val="0"/>
          <w:sz w:val="24"/>
        </w:rPr>
        <w:t>地    址：</w:t>
      </w:r>
      <w:r>
        <w:rPr>
          <w:rFonts w:hint="eastAsia" w:ascii="宋体" w:hAnsi="宋体" w:cs="仿宋_GB2312"/>
          <w:color w:val="000000"/>
          <w:kern w:val="0"/>
          <w:sz w:val="24"/>
          <w:u w:val="single"/>
        </w:rPr>
        <w:t xml:space="preserve">                                  </w:t>
      </w:r>
      <w:r>
        <w:rPr>
          <w:rFonts w:hint="eastAsia" w:ascii="宋体" w:hAnsi="宋体" w:cs="仿宋_GB2312"/>
          <w:color w:val="000000"/>
          <w:kern w:val="0"/>
          <w:sz w:val="24"/>
        </w:rPr>
        <w:t xml:space="preserve">         </w:t>
      </w:r>
    </w:p>
    <w:p>
      <w:pPr>
        <w:wordWrap w:val="0"/>
        <w:spacing w:line="320" w:lineRule="exact"/>
        <w:ind w:firstLine="360" w:firstLineChars="150"/>
        <w:jc w:val="left"/>
        <w:rPr>
          <w:rFonts w:ascii="宋体" w:hAnsi="宋体" w:cs="仿宋_GB2312"/>
          <w:color w:val="000000"/>
          <w:kern w:val="0"/>
          <w:sz w:val="24"/>
        </w:rPr>
      </w:pPr>
      <w:r>
        <w:rPr>
          <w:rFonts w:hint="eastAsia" w:ascii="宋体" w:hAnsi="宋体" w:cs="仿宋_GB2312"/>
          <w:color w:val="000000"/>
          <w:kern w:val="0"/>
          <w:sz w:val="24"/>
        </w:rPr>
        <w:t>网    址：</w:t>
      </w:r>
      <w:r>
        <w:rPr>
          <w:rFonts w:hint="eastAsia" w:ascii="宋体" w:hAnsi="宋体" w:cs="仿宋_GB2312"/>
          <w:color w:val="000000"/>
          <w:kern w:val="0"/>
          <w:sz w:val="24"/>
          <w:u w:val="single"/>
        </w:rPr>
        <w:t xml:space="preserve">                                  </w:t>
      </w:r>
      <w:r>
        <w:rPr>
          <w:rFonts w:hint="eastAsia" w:ascii="宋体" w:hAnsi="宋体" w:cs="仿宋_GB2312"/>
          <w:color w:val="000000"/>
          <w:kern w:val="0"/>
          <w:sz w:val="24"/>
        </w:rPr>
        <w:t xml:space="preserve">         </w:t>
      </w:r>
    </w:p>
    <w:p>
      <w:pPr>
        <w:wordWrap w:val="0"/>
        <w:spacing w:line="320" w:lineRule="exact"/>
        <w:ind w:firstLine="360" w:firstLineChars="150"/>
        <w:jc w:val="left"/>
        <w:rPr>
          <w:rFonts w:ascii="宋体" w:hAnsi="宋体" w:cs="仿宋_GB2312"/>
          <w:color w:val="000000"/>
          <w:kern w:val="0"/>
          <w:sz w:val="24"/>
        </w:rPr>
      </w:pPr>
      <w:r>
        <w:rPr>
          <w:rFonts w:hint="eastAsia" w:ascii="宋体" w:hAnsi="宋体" w:cs="仿宋_GB2312"/>
          <w:color w:val="000000"/>
          <w:kern w:val="0"/>
          <w:sz w:val="24"/>
        </w:rPr>
        <w:t>电    话：</w:t>
      </w:r>
      <w:r>
        <w:rPr>
          <w:rFonts w:hint="eastAsia" w:ascii="宋体" w:hAnsi="宋体" w:cs="仿宋_GB2312"/>
          <w:color w:val="000000"/>
          <w:kern w:val="0"/>
          <w:sz w:val="24"/>
          <w:u w:val="single"/>
        </w:rPr>
        <w:t xml:space="preserve">                                  </w:t>
      </w:r>
      <w:r>
        <w:rPr>
          <w:rFonts w:hint="eastAsia" w:ascii="宋体" w:hAnsi="宋体" w:cs="仿宋_GB2312"/>
          <w:color w:val="000000"/>
          <w:kern w:val="0"/>
          <w:sz w:val="24"/>
        </w:rPr>
        <w:t xml:space="preserve">         </w:t>
      </w:r>
    </w:p>
    <w:p>
      <w:pPr>
        <w:wordWrap w:val="0"/>
        <w:spacing w:line="320" w:lineRule="exact"/>
        <w:ind w:firstLine="360" w:firstLineChars="150"/>
        <w:jc w:val="left"/>
        <w:rPr>
          <w:rFonts w:ascii="宋体" w:hAnsi="宋体" w:cs="仿宋_GB2312"/>
          <w:color w:val="000000"/>
          <w:kern w:val="0"/>
          <w:sz w:val="24"/>
        </w:rPr>
      </w:pPr>
      <w:r>
        <w:rPr>
          <w:rFonts w:hint="eastAsia" w:ascii="宋体" w:hAnsi="宋体" w:cs="仿宋_GB2312"/>
          <w:color w:val="000000"/>
          <w:kern w:val="0"/>
          <w:sz w:val="24"/>
        </w:rPr>
        <w:t>传    真：</w:t>
      </w:r>
      <w:r>
        <w:rPr>
          <w:rFonts w:hint="eastAsia" w:ascii="宋体" w:hAnsi="宋体" w:cs="仿宋_GB2312"/>
          <w:color w:val="000000"/>
          <w:kern w:val="0"/>
          <w:sz w:val="24"/>
          <w:u w:val="single"/>
        </w:rPr>
        <w:t xml:space="preserve">                                  </w:t>
      </w:r>
      <w:r>
        <w:rPr>
          <w:rFonts w:hint="eastAsia" w:ascii="宋体" w:hAnsi="宋体" w:cs="仿宋_GB2312"/>
          <w:color w:val="000000"/>
          <w:kern w:val="0"/>
          <w:sz w:val="24"/>
        </w:rPr>
        <w:t xml:space="preserve">         </w:t>
      </w:r>
    </w:p>
    <w:p>
      <w:pPr>
        <w:wordWrap w:val="0"/>
        <w:spacing w:line="320" w:lineRule="exact"/>
        <w:ind w:firstLine="360" w:firstLineChars="150"/>
        <w:jc w:val="left"/>
        <w:rPr>
          <w:rFonts w:ascii="宋体" w:hAnsi="宋体" w:cs="仿宋_GB2312"/>
          <w:color w:val="000000"/>
          <w:kern w:val="0"/>
          <w:sz w:val="24"/>
        </w:rPr>
      </w:pPr>
      <w:r>
        <w:rPr>
          <w:rFonts w:hint="eastAsia" w:ascii="宋体" w:hAnsi="宋体" w:cs="仿宋_GB2312"/>
          <w:color w:val="000000"/>
          <w:kern w:val="0"/>
          <w:sz w:val="24"/>
        </w:rPr>
        <w:t>邮政编码：</w:t>
      </w:r>
      <w:r>
        <w:rPr>
          <w:rFonts w:hint="eastAsia" w:ascii="宋体" w:hAnsi="宋体" w:cs="仿宋_GB2312"/>
          <w:color w:val="000000"/>
          <w:kern w:val="0"/>
          <w:sz w:val="24"/>
          <w:u w:val="single"/>
        </w:rPr>
        <w:t xml:space="preserve">                                  </w:t>
      </w:r>
      <w:r>
        <w:rPr>
          <w:rFonts w:hint="eastAsia" w:ascii="宋体" w:hAnsi="宋体" w:cs="仿宋_GB2312"/>
          <w:color w:val="000000"/>
          <w:kern w:val="0"/>
          <w:sz w:val="24"/>
        </w:rPr>
        <w:t xml:space="preserve">        </w:t>
      </w:r>
    </w:p>
    <w:p>
      <w:pPr>
        <w:spacing w:line="320" w:lineRule="exact"/>
        <w:ind w:right="480" w:firstLine="240" w:firstLineChars="100"/>
        <w:jc w:val="left"/>
        <w:rPr>
          <w:rFonts w:ascii="宋体" w:hAnsi="宋体" w:cs="仿宋_GB2312"/>
          <w:color w:val="000000"/>
          <w:kern w:val="0"/>
          <w:sz w:val="24"/>
        </w:rPr>
      </w:pPr>
      <w:r>
        <w:rPr>
          <w:rFonts w:hint="eastAsia" w:ascii="宋体" w:hAnsi="宋体" w:cs="仿宋_GB2312"/>
          <w:color w:val="000000"/>
          <w:kern w:val="0"/>
          <w:sz w:val="24"/>
        </w:rPr>
        <w:t xml:space="preserve">                                            </w:t>
      </w:r>
    </w:p>
    <w:p>
      <w:pPr>
        <w:spacing w:line="320" w:lineRule="exact"/>
        <w:ind w:right="480" w:firstLine="240" w:firstLineChars="100"/>
        <w:jc w:val="left"/>
        <w:rPr>
          <w:rFonts w:ascii="宋体" w:hAnsi="宋体" w:cs="仿宋_GB2312"/>
          <w:color w:val="000000"/>
          <w:kern w:val="0"/>
          <w:sz w:val="24"/>
        </w:rPr>
      </w:pPr>
    </w:p>
    <w:p>
      <w:pPr>
        <w:spacing w:line="320" w:lineRule="exact"/>
        <w:ind w:right="480" w:firstLine="240" w:firstLineChars="100"/>
        <w:jc w:val="right"/>
        <w:rPr>
          <w:rFonts w:ascii="宋体" w:hAnsi="宋体" w:cs="仿宋_GB2312"/>
          <w:color w:val="000000"/>
          <w:kern w:val="0"/>
          <w:sz w:val="24"/>
        </w:rPr>
      </w:pPr>
      <w:r>
        <w:rPr>
          <w:rFonts w:hint="eastAsia" w:ascii="宋体" w:hAnsi="宋体" w:cs="仿宋_GB2312"/>
          <w:color w:val="000000"/>
          <w:kern w:val="0"/>
          <w:sz w:val="24"/>
        </w:rPr>
        <w:t xml:space="preserve"> </w:t>
      </w:r>
      <w:r>
        <w:rPr>
          <w:rFonts w:hint="eastAsia" w:ascii="宋体" w:hAnsi="宋体" w:cs="仿宋_GB2312"/>
          <w:color w:val="000000"/>
          <w:kern w:val="0"/>
          <w:sz w:val="24"/>
          <w:u w:val="single"/>
        </w:rPr>
        <w:t xml:space="preserve">          </w:t>
      </w:r>
      <w:r>
        <w:rPr>
          <w:rFonts w:hint="eastAsia" w:ascii="宋体" w:hAnsi="宋体" w:cs="仿宋_GB2312"/>
          <w:color w:val="000000"/>
          <w:kern w:val="0"/>
          <w:sz w:val="24"/>
        </w:rPr>
        <w:t>年</w:t>
      </w:r>
      <w:r>
        <w:rPr>
          <w:rFonts w:hint="eastAsia" w:ascii="宋体" w:hAnsi="宋体" w:cs="仿宋_GB2312"/>
          <w:color w:val="000000"/>
          <w:kern w:val="0"/>
          <w:sz w:val="24"/>
          <w:u w:val="single"/>
        </w:rPr>
        <w:t xml:space="preserve">    </w:t>
      </w:r>
      <w:r>
        <w:rPr>
          <w:rFonts w:hint="eastAsia" w:ascii="宋体" w:hAnsi="宋体" w:cs="仿宋_GB2312"/>
          <w:color w:val="000000"/>
          <w:kern w:val="0"/>
          <w:sz w:val="24"/>
        </w:rPr>
        <w:t>月</w:t>
      </w:r>
      <w:r>
        <w:rPr>
          <w:rFonts w:hint="eastAsia" w:ascii="宋体" w:hAnsi="宋体" w:cs="仿宋_GB2312"/>
          <w:color w:val="000000"/>
          <w:kern w:val="0"/>
          <w:sz w:val="24"/>
          <w:u w:val="single"/>
        </w:rPr>
        <w:t xml:space="preserve">   </w:t>
      </w:r>
      <w:r>
        <w:rPr>
          <w:rFonts w:hint="eastAsia" w:ascii="宋体" w:hAnsi="宋体" w:cs="仿宋_GB2312"/>
          <w:color w:val="000000"/>
          <w:kern w:val="0"/>
          <w:sz w:val="24"/>
        </w:rPr>
        <w:t>日</w:t>
      </w:r>
    </w:p>
    <w:p>
      <w:pPr>
        <w:snapToGrid w:val="0"/>
        <w:spacing w:line="360" w:lineRule="auto"/>
        <w:jc w:val="center"/>
        <w:rPr>
          <w:rFonts w:ascii="宋体" w:hAnsi="宋体" w:cs="仿宋_GB2312"/>
          <w:b/>
          <w:bCs/>
          <w:color w:val="000000"/>
          <w:kern w:val="0"/>
          <w:sz w:val="24"/>
          <w:szCs w:val="22"/>
        </w:rPr>
      </w:pPr>
      <w:r>
        <w:rPr>
          <w:rFonts w:hint="eastAsia" w:ascii="宋体" w:hAnsi="宋体" w:cs="仿宋_GB2312"/>
          <w:b/>
          <w:bCs/>
          <w:color w:val="000000"/>
          <w:kern w:val="0"/>
          <w:sz w:val="24"/>
          <w:szCs w:val="22"/>
        </w:rPr>
        <w:br w:type="page"/>
      </w:r>
      <w:r>
        <w:rPr>
          <w:rFonts w:hint="eastAsia" w:ascii="宋体" w:hAnsi="宋体" w:cs="仿宋_GB2312"/>
          <w:b/>
          <w:bCs/>
          <w:color w:val="000000"/>
          <w:kern w:val="0"/>
          <w:sz w:val="24"/>
          <w:szCs w:val="22"/>
        </w:rPr>
        <w:t>四、资格证明文件</w:t>
      </w:r>
    </w:p>
    <w:p>
      <w:pPr>
        <w:spacing w:line="500" w:lineRule="exact"/>
        <w:ind w:firstLine="1080" w:firstLineChars="450"/>
        <w:jc w:val="left"/>
        <w:rPr>
          <w:rFonts w:ascii="宋体" w:hAnsi="宋体" w:cs="仿宋_GB2312"/>
          <w:color w:val="000000"/>
          <w:kern w:val="0"/>
          <w:sz w:val="24"/>
        </w:rPr>
      </w:pPr>
      <w:r>
        <w:rPr>
          <w:rFonts w:hint="eastAsia" w:ascii="宋体" w:hAnsi="宋体" w:cs="仿宋_GB2312"/>
          <w:color w:val="000000"/>
          <w:kern w:val="0"/>
          <w:sz w:val="24"/>
        </w:rPr>
        <w:t>1）企业基本情况表</w:t>
      </w:r>
    </w:p>
    <w:p>
      <w:pPr>
        <w:spacing w:line="500" w:lineRule="exact"/>
        <w:ind w:firstLine="1080" w:firstLineChars="450"/>
        <w:jc w:val="left"/>
        <w:rPr>
          <w:rFonts w:ascii="宋体" w:hAnsi="宋体" w:cs="仿宋_GB2312"/>
          <w:color w:val="000000"/>
          <w:kern w:val="0"/>
          <w:sz w:val="24"/>
        </w:rPr>
      </w:pPr>
      <w:r>
        <w:rPr>
          <w:rFonts w:hint="eastAsia" w:ascii="宋体" w:hAnsi="宋体" w:cs="仿宋_GB2312"/>
          <w:color w:val="000000"/>
          <w:kern w:val="0"/>
          <w:sz w:val="24"/>
        </w:rPr>
        <w:t>2）企业法人营业执照、证书等</w:t>
      </w:r>
    </w:p>
    <w:p>
      <w:pPr>
        <w:spacing w:line="500" w:lineRule="exact"/>
        <w:ind w:firstLine="1080" w:firstLineChars="450"/>
        <w:jc w:val="left"/>
        <w:rPr>
          <w:rFonts w:ascii="宋体" w:hAnsi="宋体" w:cs="仿宋_GB2312"/>
          <w:color w:val="000000"/>
          <w:kern w:val="0"/>
          <w:sz w:val="24"/>
        </w:rPr>
      </w:pPr>
      <w:r>
        <w:rPr>
          <w:rFonts w:hint="eastAsia" w:ascii="宋体" w:hAnsi="宋体" w:cs="仿宋_GB2312"/>
          <w:color w:val="000000"/>
          <w:kern w:val="0"/>
          <w:sz w:val="24"/>
        </w:rPr>
        <w:t>3）拟派项目班子成员汇总表</w:t>
      </w:r>
    </w:p>
    <w:p>
      <w:pPr>
        <w:spacing w:line="500" w:lineRule="exact"/>
        <w:ind w:firstLine="1080" w:firstLineChars="450"/>
        <w:jc w:val="left"/>
        <w:rPr>
          <w:rFonts w:ascii="宋体" w:hAnsi="宋体" w:cs="仿宋_GB2312"/>
          <w:color w:val="000000"/>
          <w:kern w:val="0"/>
          <w:sz w:val="24"/>
        </w:rPr>
      </w:pPr>
      <w:r>
        <w:rPr>
          <w:rFonts w:hint="eastAsia" w:ascii="宋体" w:hAnsi="宋体" w:cs="仿宋_GB2312"/>
          <w:color w:val="000000"/>
          <w:kern w:val="0"/>
          <w:sz w:val="24"/>
        </w:rPr>
        <w:t>4）项目班子成员简历表，附职称证书、社保证明等。</w:t>
      </w:r>
    </w:p>
    <w:p>
      <w:pPr>
        <w:spacing w:line="500" w:lineRule="exact"/>
        <w:ind w:left="360"/>
        <w:jc w:val="center"/>
        <w:rPr>
          <w:rFonts w:ascii="宋体" w:hAnsi="宋体" w:cs="仿宋_GB2312"/>
          <w:b/>
          <w:bCs/>
          <w:color w:val="000000"/>
          <w:kern w:val="0"/>
          <w:sz w:val="24"/>
          <w:szCs w:val="22"/>
        </w:rPr>
      </w:pPr>
      <w:bookmarkStart w:id="141" w:name="_Toc80458960"/>
      <w:bookmarkStart w:id="142" w:name="_Toc81026161"/>
      <w:bookmarkStart w:id="143" w:name="_Toc80502618"/>
      <w:r>
        <w:rPr>
          <w:rFonts w:hint="eastAsia" w:ascii="宋体" w:hAnsi="宋体" w:cs="仿宋_GB2312"/>
          <w:b/>
          <w:color w:val="000000"/>
          <w:kern w:val="0"/>
          <w:sz w:val="24"/>
        </w:rPr>
        <w:br w:type="page"/>
      </w:r>
      <w:r>
        <w:rPr>
          <w:rFonts w:hint="eastAsia" w:ascii="宋体" w:hAnsi="宋体" w:cs="仿宋_GB2312"/>
          <w:b/>
          <w:color w:val="000000"/>
          <w:kern w:val="0"/>
          <w:sz w:val="24"/>
          <w:szCs w:val="22"/>
        </w:rPr>
        <w:t>1、</w:t>
      </w:r>
      <w:r>
        <w:rPr>
          <w:rFonts w:hint="eastAsia" w:ascii="宋体" w:hAnsi="宋体" w:cs="仿宋_GB2312"/>
          <w:b/>
          <w:bCs/>
          <w:color w:val="000000"/>
          <w:kern w:val="0"/>
          <w:sz w:val="24"/>
          <w:szCs w:val="22"/>
        </w:rPr>
        <w:t>企业基本情况一览表</w:t>
      </w:r>
      <w:bookmarkEnd w:id="141"/>
      <w:bookmarkEnd w:id="142"/>
      <w:bookmarkEnd w:id="143"/>
    </w:p>
    <w:p>
      <w:pPr>
        <w:spacing w:line="500" w:lineRule="exact"/>
        <w:ind w:left="360"/>
        <w:jc w:val="center"/>
        <w:rPr>
          <w:rFonts w:ascii="宋体" w:hAnsi="宋体" w:cs="仿宋_GB2312"/>
          <w:b/>
          <w:bCs/>
          <w:color w:val="000000"/>
          <w:kern w:val="0"/>
          <w:sz w:val="24"/>
          <w:szCs w:val="22"/>
        </w:rPr>
      </w:pPr>
    </w:p>
    <w:tbl>
      <w:tblPr>
        <w:tblStyle w:val="4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8"/>
        <w:gridCol w:w="3306"/>
        <w:gridCol w:w="915"/>
        <w:gridCol w:w="42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68" w:type="dxa"/>
            <w:vAlign w:val="center"/>
          </w:tcPr>
          <w:p>
            <w:pPr>
              <w:jc w:val="center"/>
              <w:rPr>
                <w:rFonts w:ascii="宋体" w:hAnsi="宋体" w:cs="仿宋_GB2312"/>
                <w:color w:val="000000"/>
                <w:kern w:val="0"/>
                <w:sz w:val="24"/>
                <w:szCs w:val="22"/>
              </w:rPr>
            </w:pPr>
            <w:r>
              <w:rPr>
                <w:rFonts w:hint="eastAsia" w:ascii="宋体" w:hAnsi="宋体" w:cs="仿宋_GB2312"/>
                <w:color w:val="000000"/>
                <w:kern w:val="0"/>
                <w:sz w:val="24"/>
                <w:szCs w:val="22"/>
              </w:rPr>
              <w:t>1</w:t>
            </w:r>
          </w:p>
        </w:tc>
        <w:tc>
          <w:tcPr>
            <w:tcW w:w="8464" w:type="dxa"/>
            <w:gridSpan w:val="3"/>
            <w:vAlign w:val="center"/>
          </w:tcPr>
          <w:p>
            <w:pPr>
              <w:jc w:val="left"/>
              <w:rPr>
                <w:rFonts w:ascii="宋体" w:hAnsi="宋体" w:cs="仿宋_GB2312"/>
                <w:color w:val="000000"/>
                <w:kern w:val="0"/>
                <w:sz w:val="24"/>
                <w:szCs w:val="22"/>
              </w:rPr>
            </w:pPr>
            <w:r>
              <w:rPr>
                <w:rFonts w:hint="eastAsia" w:ascii="宋体" w:hAnsi="宋体" w:cs="仿宋_GB2312"/>
                <w:color w:val="000000"/>
                <w:kern w:val="0"/>
                <w:sz w:val="24"/>
                <w:szCs w:val="22"/>
              </w:rPr>
              <w:t>企业名称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68" w:type="dxa"/>
            <w:vAlign w:val="center"/>
          </w:tcPr>
          <w:p>
            <w:pPr>
              <w:jc w:val="center"/>
              <w:rPr>
                <w:rFonts w:ascii="宋体" w:hAnsi="宋体" w:cs="仿宋_GB2312"/>
                <w:color w:val="000000"/>
                <w:kern w:val="0"/>
                <w:sz w:val="24"/>
                <w:szCs w:val="22"/>
              </w:rPr>
            </w:pPr>
            <w:r>
              <w:rPr>
                <w:rFonts w:hint="eastAsia" w:ascii="宋体" w:hAnsi="宋体" w:cs="仿宋_GB2312"/>
                <w:color w:val="000000"/>
                <w:kern w:val="0"/>
                <w:sz w:val="24"/>
                <w:szCs w:val="22"/>
              </w:rPr>
              <w:t>2</w:t>
            </w:r>
          </w:p>
        </w:tc>
        <w:tc>
          <w:tcPr>
            <w:tcW w:w="8464" w:type="dxa"/>
            <w:gridSpan w:val="3"/>
            <w:vAlign w:val="center"/>
          </w:tcPr>
          <w:p>
            <w:pPr>
              <w:jc w:val="left"/>
              <w:rPr>
                <w:rFonts w:ascii="宋体" w:hAnsi="宋体" w:cs="仿宋_GB2312"/>
                <w:color w:val="000000"/>
                <w:kern w:val="0"/>
                <w:sz w:val="24"/>
                <w:szCs w:val="22"/>
              </w:rPr>
            </w:pPr>
            <w:r>
              <w:rPr>
                <w:rFonts w:hint="eastAsia" w:ascii="宋体" w:hAnsi="宋体" w:cs="仿宋_GB2312"/>
                <w:color w:val="000000"/>
                <w:kern w:val="0"/>
                <w:sz w:val="24"/>
                <w:szCs w:val="22"/>
              </w:rPr>
              <w:t>总部地址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68" w:type="dxa"/>
            <w:vAlign w:val="center"/>
          </w:tcPr>
          <w:p>
            <w:pPr>
              <w:jc w:val="center"/>
              <w:rPr>
                <w:rFonts w:ascii="宋体" w:hAnsi="宋体" w:cs="仿宋_GB2312"/>
                <w:color w:val="000000"/>
                <w:kern w:val="0"/>
                <w:sz w:val="24"/>
                <w:szCs w:val="22"/>
              </w:rPr>
            </w:pPr>
            <w:r>
              <w:rPr>
                <w:rFonts w:hint="eastAsia" w:ascii="宋体" w:hAnsi="宋体" w:cs="仿宋_GB2312"/>
                <w:color w:val="000000"/>
                <w:kern w:val="0"/>
                <w:sz w:val="24"/>
                <w:szCs w:val="22"/>
              </w:rPr>
              <w:t>3</w:t>
            </w:r>
          </w:p>
        </w:tc>
        <w:tc>
          <w:tcPr>
            <w:tcW w:w="8464" w:type="dxa"/>
            <w:gridSpan w:val="3"/>
            <w:vAlign w:val="center"/>
          </w:tcPr>
          <w:p>
            <w:pPr>
              <w:jc w:val="left"/>
              <w:rPr>
                <w:rFonts w:ascii="宋体" w:hAnsi="宋体" w:cs="仿宋_GB2312"/>
                <w:color w:val="000000"/>
                <w:kern w:val="0"/>
                <w:sz w:val="24"/>
                <w:szCs w:val="22"/>
              </w:rPr>
            </w:pPr>
            <w:r>
              <w:rPr>
                <w:rFonts w:hint="eastAsia" w:ascii="宋体" w:hAnsi="宋体" w:cs="仿宋_GB2312"/>
                <w:color w:val="000000"/>
                <w:kern w:val="0"/>
                <w:sz w:val="24"/>
                <w:szCs w:val="22"/>
              </w:rPr>
              <w:t>当地代表处地址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68" w:type="dxa"/>
            <w:vAlign w:val="center"/>
          </w:tcPr>
          <w:p>
            <w:pPr>
              <w:jc w:val="center"/>
              <w:rPr>
                <w:rFonts w:ascii="宋体" w:hAnsi="宋体" w:cs="仿宋_GB2312"/>
                <w:color w:val="000000"/>
                <w:kern w:val="0"/>
                <w:sz w:val="24"/>
                <w:szCs w:val="22"/>
              </w:rPr>
            </w:pPr>
            <w:r>
              <w:rPr>
                <w:rFonts w:hint="eastAsia" w:ascii="宋体" w:hAnsi="宋体" w:cs="仿宋_GB2312"/>
                <w:color w:val="000000"/>
                <w:kern w:val="0"/>
                <w:sz w:val="24"/>
                <w:szCs w:val="22"/>
              </w:rPr>
              <w:t>4</w:t>
            </w:r>
          </w:p>
        </w:tc>
        <w:tc>
          <w:tcPr>
            <w:tcW w:w="4221" w:type="dxa"/>
            <w:gridSpan w:val="2"/>
            <w:vAlign w:val="center"/>
          </w:tcPr>
          <w:p>
            <w:pPr>
              <w:jc w:val="left"/>
              <w:rPr>
                <w:rFonts w:ascii="宋体" w:hAnsi="宋体" w:cs="仿宋_GB2312"/>
                <w:color w:val="000000"/>
                <w:kern w:val="0"/>
                <w:sz w:val="24"/>
                <w:szCs w:val="22"/>
              </w:rPr>
            </w:pPr>
            <w:r>
              <w:rPr>
                <w:rFonts w:hint="eastAsia" w:ascii="宋体" w:hAnsi="宋体" w:cs="仿宋_GB2312"/>
                <w:color w:val="000000"/>
                <w:kern w:val="0"/>
                <w:sz w:val="24"/>
                <w:szCs w:val="22"/>
              </w:rPr>
              <w:t>电话</w:t>
            </w:r>
          </w:p>
        </w:tc>
        <w:tc>
          <w:tcPr>
            <w:tcW w:w="4243" w:type="dxa"/>
            <w:vAlign w:val="center"/>
          </w:tcPr>
          <w:p>
            <w:pPr>
              <w:jc w:val="left"/>
              <w:rPr>
                <w:rFonts w:ascii="宋体" w:hAnsi="宋体" w:cs="仿宋_GB2312"/>
                <w:color w:val="000000"/>
                <w:kern w:val="0"/>
                <w:sz w:val="24"/>
                <w:szCs w:val="22"/>
              </w:rPr>
            </w:pPr>
            <w:r>
              <w:rPr>
                <w:rFonts w:hint="eastAsia" w:ascii="宋体" w:hAnsi="宋体" w:cs="仿宋_GB2312"/>
                <w:color w:val="000000"/>
                <w:kern w:val="0"/>
                <w:sz w:val="24"/>
                <w:szCs w:val="22"/>
              </w:rPr>
              <w:t>联系人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68" w:type="dxa"/>
            <w:vAlign w:val="center"/>
          </w:tcPr>
          <w:p>
            <w:pPr>
              <w:jc w:val="center"/>
              <w:rPr>
                <w:rFonts w:ascii="宋体" w:hAnsi="宋体" w:cs="仿宋_GB2312"/>
                <w:color w:val="000000"/>
                <w:kern w:val="0"/>
                <w:sz w:val="24"/>
                <w:szCs w:val="22"/>
              </w:rPr>
            </w:pPr>
            <w:r>
              <w:rPr>
                <w:rFonts w:hint="eastAsia" w:ascii="宋体" w:hAnsi="宋体" w:cs="仿宋_GB2312"/>
                <w:color w:val="000000"/>
                <w:kern w:val="0"/>
                <w:sz w:val="24"/>
                <w:szCs w:val="22"/>
              </w:rPr>
              <w:t>5</w:t>
            </w:r>
          </w:p>
        </w:tc>
        <w:tc>
          <w:tcPr>
            <w:tcW w:w="4221" w:type="dxa"/>
            <w:gridSpan w:val="2"/>
            <w:vAlign w:val="center"/>
          </w:tcPr>
          <w:p>
            <w:pPr>
              <w:jc w:val="left"/>
              <w:rPr>
                <w:rFonts w:ascii="宋体" w:hAnsi="宋体" w:cs="仿宋_GB2312"/>
                <w:color w:val="000000"/>
                <w:kern w:val="0"/>
                <w:sz w:val="24"/>
                <w:szCs w:val="22"/>
              </w:rPr>
            </w:pPr>
            <w:r>
              <w:rPr>
                <w:rFonts w:hint="eastAsia" w:ascii="宋体" w:hAnsi="宋体" w:cs="仿宋_GB2312"/>
                <w:color w:val="000000"/>
                <w:kern w:val="0"/>
                <w:sz w:val="24"/>
                <w:szCs w:val="22"/>
              </w:rPr>
              <w:t>传真</w:t>
            </w:r>
          </w:p>
        </w:tc>
        <w:tc>
          <w:tcPr>
            <w:tcW w:w="4243" w:type="dxa"/>
            <w:vAlign w:val="center"/>
          </w:tcPr>
          <w:p>
            <w:pPr>
              <w:jc w:val="left"/>
              <w:rPr>
                <w:rFonts w:ascii="宋体" w:hAnsi="宋体" w:cs="仿宋_GB2312"/>
                <w:color w:val="000000"/>
                <w:kern w:val="0"/>
                <w:sz w:val="24"/>
                <w:szCs w:val="22"/>
              </w:rPr>
            </w:pPr>
            <w:r>
              <w:rPr>
                <w:rFonts w:hint="eastAsia" w:ascii="宋体" w:hAnsi="宋体" w:cs="仿宋_GB2312"/>
                <w:color w:val="000000"/>
                <w:kern w:val="0"/>
                <w:sz w:val="24"/>
                <w:szCs w:val="22"/>
              </w:rPr>
              <w:t>电子邮箱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68" w:type="dxa"/>
            <w:vAlign w:val="center"/>
          </w:tcPr>
          <w:p>
            <w:pPr>
              <w:jc w:val="center"/>
              <w:rPr>
                <w:rFonts w:ascii="宋体" w:hAnsi="宋体" w:cs="仿宋_GB2312"/>
                <w:color w:val="000000"/>
                <w:kern w:val="0"/>
                <w:sz w:val="24"/>
                <w:szCs w:val="22"/>
              </w:rPr>
            </w:pPr>
            <w:r>
              <w:rPr>
                <w:rFonts w:hint="eastAsia" w:ascii="宋体" w:hAnsi="宋体" w:cs="仿宋_GB2312"/>
                <w:color w:val="000000"/>
                <w:kern w:val="0"/>
                <w:sz w:val="24"/>
                <w:szCs w:val="22"/>
              </w:rPr>
              <w:t>6</w:t>
            </w:r>
          </w:p>
        </w:tc>
        <w:tc>
          <w:tcPr>
            <w:tcW w:w="4221" w:type="dxa"/>
            <w:gridSpan w:val="2"/>
            <w:vAlign w:val="center"/>
          </w:tcPr>
          <w:p>
            <w:pPr>
              <w:jc w:val="left"/>
              <w:rPr>
                <w:rFonts w:ascii="宋体" w:hAnsi="宋体" w:cs="仿宋_GB2312"/>
                <w:color w:val="000000"/>
                <w:kern w:val="0"/>
                <w:sz w:val="24"/>
                <w:szCs w:val="22"/>
              </w:rPr>
            </w:pPr>
            <w:r>
              <w:rPr>
                <w:rFonts w:hint="eastAsia" w:ascii="宋体" w:hAnsi="宋体" w:cs="仿宋_GB2312"/>
                <w:color w:val="000000"/>
                <w:kern w:val="0"/>
                <w:sz w:val="24"/>
                <w:szCs w:val="22"/>
              </w:rPr>
              <w:t>注册地</w:t>
            </w:r>
          </w:p>
        </w:tc>
        <w:tc>
          <w:tcPr>
            <w:tcW w:w="4243" w:type="dxa"/>
            <w:vAlign w:val="center"/>
          </w:tcPr>
          <w:p>
            <w:pPr>
              <w:jc w:val="left"/>
              <w:rPr>
                <w:rFonts w:ascii="宋体" w:hAnsi="宋体" w:cs="仿宋_GB2312"/>
                <w:color w:val="000000"/>
                <w:kern w:val="0"/>
                <w:sz w:val="24"/>
                <w:szCs w:val="22"/>
              </w:rPr>
            </w:pPr>
            <w:r>
              <w:rPr>
                <w:rFonts w:hint="eastAsia" w:ascii="宋体" w:hAnsi="宋体" w:cs="仿宋_GB2312"/>
                <w:color w:val="000000"/>
                <w:kern w:val="0"/>
                <w:sz w:val="24"/>
                <w:szCs w:val="22"/>
              </w:rPr>
              <w:t>注册年份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68" w:type="dxa"/>
            <w:vAlign w:val="center"/>
          </w:tcPr>
          <w:p>
            <w:pPr>
              <w:jc w:val="center"/>
              <w:rPr>
                <w:rFonts w:ascii="宋体" w:hAnsi="宋体" w:cs="仿宋_GB2312"/>
                <w:color w:val="000000"/>
                <w:kern w:val="0"/>
                <w:sz w:val="24"/>
                <w:szCs w:val="22"/>
              </w:rPr>
            </w:pPr>
            <w:r>
              <w:rPr>
                <w:rFonts w:hint="eastAsia" w:ascii="宋体" w:hAnsi="宋体" w:cs="仿宋_GB2312"/>
                <w:color w:val="000000"/>
                <w:kern w:val="0"/>
                <w:sz w:val="24"/>
                <w:szCs w:val="22"/>
              </w:rPr>
              <w:t>7</w:t>
            </w:r>
          </w:p>
        </w:tc>
        <w:tc>
          <w:tcPr>
            <w:tcW w:w="8464" w:type="dxa"/>
            <w:gridSpan w:val="3"/>
            <w:vAlign w:val="center"/>
          </w:tcPr>
          <w:p>
            <w:pPr>
              <w:jc w:val="left"/>
              <w:rPr>
                <w:rFonts w:ascii="宋体" w:hAnsi="宋体" w:cs="仿宋_GB2312"/>
                <w:color w:val="000000"/>
                <w:kern w:val="0"/>
                <w:sz w:val="24"/>
                <w:szCs w:val="22"/>
              </w:rPr>
            </w:pPr>
            <w:r>
              <w:rPr>
                <w:rFonts w:hint="eastAsia" w:ascii="宋体" w:hAnsi="宋体" w:cs="仿宋_GB2312"/>
                <w:color w:val="000000"/>
                <w:kern w:val="0"/>
                <w:sz w:val="24"/>
                <w:szCs w:val="22"/>
              </w:rPr>
              <w:t xml:space="preserve">公司资质等级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68" w:type="dxa"/>
            <w:vAlign w:val="center"/>
          </w:tcPr>
          <w:p>
            <w:pPr>
              <w:jc w:val="center"/>
              <w:rPr>
                <w:rFonts w:ascii="宋体" w:hAnsi="宋体" w:cs="仿宋_GB2312"/>
                <w:color w:val="000000"/>
                <w:kern w:val="0"/>
                <w:sz w:val="24"/>
                <w:szCs w:val="22"/>
              </w:rPr>
            </w:pPr>
            <w:r>
              <w:rPr>
                <w:rFonts w:hint="eastAsia" w:ascii="宋体" w:hAnsi="宋体" w:cs="仿宋_GB2312"/>
                <w:color w:val="000000"/>
                <w:kern w:val="0"/>
                <w:sz w:val="24"/>
                <w:szCs w:val="22"/>
              </w:rPr>
              <w:t>8</w:t>
            </w:r>
          </w:p>
        </w:tc>
        <w:tc>
          <w:tcPr>
            <w:tcW w:w="8464" w:type="dxa"/>
            <w:gridSpan w:val="3"/>
            <w:vAlign w:val="center"/>
          </w:tcPr>
          <w:p>
            <w:pPr>
              <w:jc w:val="left"/>
              <w:rPr>
                <w:rFonts w:ascii="宋体" w:hAnsi="宋体" w:cs="仿宋_GB2312"/>
                <w:color w:val="000000"/>
                <w:kern w:val="0"/>
                <w:sz w:val="24"/>
                <w:szCs w:val="22"/>
              </w:rPr>
            </w:pPr>
            <w:r>
              <w:rPr>
                <w:rFonts w:hint="eastAsia" w:ascii="宋体" w:hAnsi="宋体" w:cs="仿宋_GB2312"/>
                <w:color w:val="000000"/>
                <w:kern w:val="0"/>
                <w:sz w:val="24"/>
                <w:szCs w:val="22"/>
              </w:rPr>
              <w:t>公司</w:t>
            </w:r>
            <w:r>
              <w:rPr>
                <w:rFonts w:hint="eastAsia" w:ascii="宋体" w:hAnsi="宋体" w:cs="仿宋_GB2312"/>
                <w:color w:val="000000"/>
                <w:kern w:val="0"/>
                <w:sz w:val="24"/>
                <w:szCs w:val="22"/>
                <w:u w:val="single"/>
              </w:rPr>
              <w:t xml:space="preserve">  （是否通过，何种） </w:t>
            </w:r>
            <w:r>
              <w:rPr>
                <w:rFonts w:hint="eastAsia" w:ascii="宋体" w:hAnsi="宋体" w:cs="仿宋_GB2312"/>
                <w:color w:val="000000"/>
                <w:kern w:val="0"/>
                <w:sz w:val="24"/>
                <w:szCs w:val="22"/>
              </w:rPr>
              <w:t>质量保证体系认证（如通过请附相关证书复印件）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68" w:type="dxa"/>
            <w:vAlign w:val="center"/>
          </w:tcPr>
          <w:p>
            <w:pPr>
              <w:jc w:val="center"/>
              <w:rPr>
                <w:rFonts w:ascii="宋体" w:hAnsi="宋体" w:cs="仿宋_GB2312"/>
                <w:color w:val="000000"/>
                <w:kern w:val="0"/>
                <w:sz w:val="24"/>
                <w:szCs w:val="22"/>
              </w:rPr>
            </w:pPr>
            <w:r>
              <w:rPr>
                <w:rFonts w:hint="eastAsia" w:ascii="宋体" w:hAnsi="宋体" w:cs="仿宋_GB2312"/>
                <w:color w:val="000000"/>
                <w:kern w:val="0"/>
                <w:sz w:val="24"/>
                <w:szCs w:val="22"/>
              </w:rPr>
              <w:t>9</w:t>
            </w:r>
          </w:p>
        </w:tc>
        <w:tc>
          <w:tcPr>
            <w:tcW w:w="8464" w:type="dxa"/>
            <w:gridSpan w:val="3"/>
            <w:vAlign w:val="center"/>
          </w:tcPr>
          <w:p>
            <w:pPr>
              <w:spacing w:line="400" w:lineRule="exact"/>
              <w:jc w:val="left"/>
              <w:rPr>
                <w:rFonts w:ascii="宋体" w:hAnsi="宋体" w:cs="仿宋_GB2312"/>
                <w:color w:val="000000"/>
                <w:kern w:val="0"/>
                <w:sz w:val="24"/>
                <w:szCs w:val="22"/>
              </w:rPr>
            </w:pPr>
            <w:r>
              <w:rPr>
                <w:rFonts w:hint="eastAsia" w:ascii="宋体" w:hAnsi="宋体" w:cs="仿宋_GB2312"/>
                <w:color w:val="000000"/>
                <w:kern w:val="0"/>
                <w:sz w:val="24"/>
                <w:szCs w:val="22"/>
              </w:rPr>
              <w:t>主营范围</w:t>
            </w:r>
          </w:p>
          <w:p>
            <w:pPr>
              <w:spacing w:line="400" w:lineRule="exact"/>
              <w:jc w:val="left"/>
              <w:rPr>
                <w:rFonts w:ascii="宋体" w:hAnsi="宋体" w:cs="仿宋_GB2312"/>
                <w:color w:val="000000"/>
                <w:kern w:val="0"/>
                <w:sz w:val="24"/>
                <w:szCs w:val="22"/>
              </w:rPr>
            </w:pPr>
            <w:r>
              <w:rPr>
                <w:rFonts w:hint="eastAsia" w:ascii="宋体" w:hAnsi="宋体" w:cs="仿宋_GB2312"/>
                <w:color w:val="000000"/>
                <w:kern w:val="0"/>
                <w:sz w:val="24"/>
                <w:szCs w:val="22"/>
              </w:rPr>
              <w:t>1、</w:t>
            </w:r>
            <w:r>
              <w:rPr>
                <w:rFonts w:hint="eastAsia" w:ascii="宋体" w:hAnsi="宋体" w:cs="仿宋_GB2312"/>
                <w:color w:val="000000"/>
                <w:kern w:val="0"/>
                <w:sz w:val="24"/>
                <w:szCs w:val="22"/>
                <w:u w:val="single"/>
              </w:rPr>
              <w:t xml:space="preserve">                                                  </w:t>
            </w:r>
          </w:p>
          <w:p>
            <w:pPr>
              <w:spacing w:line="400" w:lineRule="exact"/>
              <w:jc w:val="left"/>
              <w:rPr>
                <w:rFonts w:ascii="宋体" w:hAnsi="宋体" w:cs="仿宋_GB2312"/>
                <w:color w:val="000000"/>
                <w:kern w:val="0"/>
                <w:sz w:val="24"/>
                <w:szCs w:val="22"/>
              </w:rPr>
            </w:pPr>
            <w:r>
              <w:rPr>
                <w:rFonts w:hint="eastAsia" w:ascii="宋体" w:hAnsi="宋体" w:cs="仿宋_GB2312"/>
                <w:color w:val="000000"/>
                <w:kern w:val="0"/>
                <w:sz w:val="24"/>
                <w:szCs w:val="22"/>
              </w:rPr>
              <w:t>2、</w:t>
            </w:r>
            <w:r>
              <w:rPr>
                <w:rFonts w:hint="eastAsia" w:ascii="宋体" w:hAnsi="宋体" w:cs="仿宋_GB2312"/>
                <w:color w:val="000000"/>
                <w:kern w:val="0"/>
                <w:sz w:val="24"/>
                <w:szCs w:val="22"/>
                <w:u w:val="single"/>
              </w:rPr>
              <w:t xml:space="preserve">                                                  </w:t>
            </w:r>
          </w:p>
          <w:p>
            <w:pPr>
              <w:spacing w:line="400" w:lineRule="exact"/>
              <w:jc w:val="left"/>
              <w:rPr>
                <w:rFonts w:ascii="宋体" w:hAnsi="宋体" w:cs="仿宋_GB2312"/>
                <w:color w:val="000000"/>
                <w:kern w:val="0"/>
                <w:sz w:val="24"/>
                <w:szCs w:val="22"/>
              </w:rPr>
            </w:pPr>
            <w:r>
              <w:rPr>
                <w:rFonts w:hint="eastAsia" w:ascii="宋体" w:hAnsi="宋体" w:cs="仿宋_GB2312"/>
                <w:color w:val="000000"/>
                <w:kern w:val="0"/>
                <w:sz w:val="24"/>
                <w:szCs w:val="22"/>
              </w:rPr>
              <w:t>3、</w:t>
            </w:r>
            <w:r>
              <w:rPr>
                <w:rFonts w:hint="eastAsia" w:ascii="宋体" w:hAnsi="宋体" w:cs="仿宋_GB2312"/>
                <w:color w:val="000000"/>
                <w:kern w:val="0"/>
                <w:sz w:val="24"/>
                <w:szCs w:val="22"/>
                <w:u w:val="single"/>
              </w:rPr>
              <w:t xml:space="preserve">                                                  </w:t>
            </w:r>
          </w:p>
          <w:p>
            <w:pPr>
              <w:spacing w:line="400" w:lineRule="exact"/>
              <w:jc w:val="left"/>
              <w:rPr>
                <w:rFonts w:ascii="宋体" w:hAnsi="宋体" w:cs="仿宋_GB2312"/>
                <w:color w:val="000000"/>
                <w:kern w:val="0"/>
                <w:sz w:val="24"/>
                <w:szCs w:val="22"/>
              </w:rPr>
            </w:pPr>
            <w:r>
              <w:rPr>
                <w:rFonts w:hint="eastAsia" w:ascii="宋体" w:hAnsi="宋体" w:cs="仿宋_GB2312"/>
                <w:color w:val="000000"/>
                <w:kern w:val="0"/>
                <w:sz w:val="24"/>
                <w:szCs w:val="22"/>
              </w:rPr>
              <w:t>4、</w:t>
            </w:r>
            <w:r>
              <w:rPr>
                <w:rFonts w:hint="eastAsia" w:ascii="宋体" w:hAnsi="宋体" w:cs="仿宋_GB2312"/>
                <w:color w:val="000000"/>
                <w:kern w:val="0"/>
                <w:sz w:val="24"/>
                <w:szCs w:val="22"/>
                <w:u w:val="single"/>
              </w:rPr>
              <w:t xml:space="preserve">                                                  </w:t>
            </w:r>
          </w:p>
          <w:p>
            <w:pPr>
              <w:spacing w:line="400" w:lineRule="exact"/>
              <w:jc w:val="left"/>
              <w:rPr>
                <w:rFonts w:ascii="宋体" w:hAnsi="宋体" w:cs="仿宋_GB2312"/>
                <w:color w:val="000000"/>
                <w:kern w:val="0"/>
                <w:sz w:val="24"/>
                <w:szCs w:val="22"/>
              </w:rPr>
            </w:pPr>
            <w:r>
              <w:rPr>
                <w:rFonts w:hint="eastAsia" w:ascii="宋体" w:hAnsi="宋体" w:cs="仿宋_GB2312"/>
                <w:color w:val="000000"/>
                <w:kern w:val="0"/>
                <w:sz w:val="24"/>
                <w:szCs w:val="22"/>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68" w:type="dxa"/>
            <w:vAlign w:val="center"/>
          </w:tcPr>
          <w:p>
            <w:pPr>
              <w:jc w:val="center"/>
              <w:rPr>
                <w:rFonts w:ascii="宋体" w:hAnsi="宋体" w:cs="仿宋_GB2312"/>
                <w:color w:val="000000"/>
                <w:kern w:val="0"/>
                <w:sz w:val="24"/>
                <w:szCs w:val="22"/>
              </w:rPr>
            </w:pPr>
            <w:r>
              <w:rPr>
                <w:rFonts w:hint="eastAsia" w:ascii="宋体" w:hAnsi="宋体" w:cs="仿宋_GB2312"/>
                <w:color w:val="000000"/>
                <w:kern w:val="0"/>
                <w:sz w:val="24"/>
                <w:szCs w:val="22"/>
              </w:rPr>
              <w:t>10</w:t>
            </w:r>
          </w:p>
        </w:tc>
        <w:tc>
          <w:tcPr>
            <w:tcW w:w="3306" w:type="dxa"/>
            <w:vAlign w:val="center"/>
          </w:tcPr>
          <w:p>
            <w:pPr>
              <w:jc w:val="left"/>
              <w:rPr>
                <w:rFonts w:ascii="宋体" w:hAnsi="宋体" w:cs="仿宋_GB2312"/>
                <w:color w:val="000000"/>
                <w:kern w:val="0"/>
                <w:sz w:val="24"/>
                <w:szCs w:val="22"/>
              </w:rPr>
            </w:pPr>
            <w:r>
              <w:rPr>
                <w:rFonts w:hint="eastAsia" w:ascii="宋体" w:hAnsi="宋体" w:cs="仿宋_GB2312"/>
                <w:color w:val="000000"/>
                <w:kern w:val="0"/>
                <w:sz w:val="24"/>
                <w:szCs w:val="22"/>
              </w:rPr>
              <w:t>作为供应商经历年数</w:t>
            </w:r>
          </w:p>
        </w:tc>
        <w:tc>
          <w:tcPr>
            <w:tcW w:w="5158" w:type="dxa"/>
            <w:gridSpan w:val="2"/>
          </w:tcPr>
          <w:p>
            <w:pPr>
              <w:jc w:val="left"/>
              <w:rPr>
                <w:rFonts w:ascii="宋体" w:hAnsi="宋体" w:cs="仿宋_GB2312"/>
                <w:color w:val="000000"/>
                <w:kern w:val="0"/>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68" w:type="dxa"/>
            <w:vAlign w:val="center"/>
          </w:tcPr>
          <w:p>
            <w:pPr>
              <w:jc w:val="center"/>
              <w:rPr>
                <w:rFonts w:ascii="宋体" w:hAnsi="宋体" w:cs="仿宋_GB2312"/>
                <w:color w:val="000000"/>
                <w:kern w:val="0"/>
                <w:sz w:val="24"/>
                <w:szCs w:val="22"/>
              </w:rPr>
            </w:pPr>
            <w:r>
              <w:rPr>
                <w:rFonts w:hint="eastAsia" w:ascii="宋体" w:hAnsi="宋体" w:cs="仿宋_GB2312"/>
                <w:color w:val="000000"/>
                <w:kern w:val="0"/>
                <w:sz w:val="24"/>
                <w:szCs w:val="22"/>
              </w:rPr>
              <w:t>11</w:t>
            </w:r>
          </w:p>
        </w:tc>
        <w:tc>
          <w:tcPr>
            <w:tcW w:w="8464" w:type="dxa"/>
            <w:gridSpan w:val="3"/>
            <w:vAlign w:val="center"/>
          </w:tcPr>
          <w:p>
            <w:pPr>
              <w:jc w:val="left"/>
              <w:rPr>
                <w:rFonts w:ascii="宋体" w:hAnsi="宋体" w:cs="仿宋_GB2312"/>
                <w:color w:val="000000"/>
                <w:kern w:val="0"/>
                <w:sz w:val="24"/>
                <w:szCs w:val="22"/>
              </w:rPr>
            </w:pPr>
            <w:r>
              <w:rPr>
                <w:rFonts w:hint="eastAsia" w:ascii="宋体" w:hAnsi="宋体" w:cs="仿宋_GB2312"/>
                <w:color w:val="000000"/>
                <w:kern w:val="0"/>
                <w:sz w:val="24"/>
                <w:szCs w:val="22"/>
              </w:rPr>
              <w:t>主要代表性业绩：</w:t>
            </w:r>
          </w:p>
        </w:tc>
      </w:tr>
    </w:tbl>
    <w:p>
      <w:pPr>
        <w:spacing w:line="500" w:lineRule="exact"/>
        <w:jc w:val="left"/>
        <w:rPr>
          <w:rFonts w:ascii="宋体" w:hAnsi="宋体" w:cs="仿宋_GB2312"/>
          <w:b/>
          <w:color w:val="000000"/>
          <w:kern w:val="0"/>
          <w:sz w:val="24"/>
          <w:szCs w:val="22"/>
        </w:rPr>
      </w:pPr>
      <w:r>
        <w:rPr>
          <w:rFonts w:hint="eastAsia" w:ascii="宋体" w:hAnsi="宋体" w:cs="仿宋_GB2312"/>
          <w:b/>
          <w:color w:val="000000"/>
          <w:kern w:val="0"/>
          <w:sz w:val="24"/>
          <w:szCs w:val="22"/>
        </w:rPr>
        <w:br w:type="page"/>
      </w:r>
      <w:r>
        <w:rPr>
          <w:rFonts w:hint="eastAsia" w:ascii="宋体" w:hAnsi="宋体" w:cs="仿宋_GB2312"/>
          <w:b/>
          <w:color w:val="000000"/>
          <w:kern w:val="0"/>
          <w:sz w:val="24"/>
          <w:szCs w:val="22"/>
        </w:rPr>
        <w:t>2、</w:t>
      </w:r>
      <w:bookmarkStart w:id="144" w:name="_Toc54281631"/>
      <w:bookmarkStart w:id="145" w:name="_Toc54280779"/>
      <w:bookmarkStart w:id="146" w:name="_Toc54280353"/>
      <w:bookmarkStart w:id="147" w:name="_Toc55705179"/>
      <w:bookmarkStart w:id="148" w:name="_Toc54281205"/>
      <w:bookmarkStart w:id="149" w:name="_Toc55639404"/>
      <w:bookmarkStart w:id="150" w:name="_Toc54278970"/>
      <w:bookmarkStart w:id="151" w:name="_Toc54291535"/>
      <w:bookmarkStart w:id="152" w:name="_Toc54372666"/>
      <w:bookmarkStart w:id="153" w:name="_Toc55654551"/>
      <w:r>
        <w:rPr>
          <w:rFonts w:hint="eastAsia" w:ascii="宋体" w:hAnsi="宋体" w:cs="仿宋_GB2312"/>
          <w:bCs/>
          <w:color w:val="000000"/>
          <w:kern w:val="0"/>
          <w:sz w:val="24"/>
          <w:szCs w:val="22"/>
        </w:rPr>
        <w:t>企业法人营业执照、证书等。</w:t>
      </w:r>
    </w:p>
    <w:p>
      <w:pPr>
        <w:spacing w:line="500" w:lineRule="exact"/>
        <w:jc w:val="center"/>
        <w:rPr>
          <w:rFonts w:ascii="宋体" w:hAnsi="宋体" w:cs="仿宋_GB2312"/>
          <w:b/>
          <w:color w:val="000000"/>
          <w:kern w:val="0"/>
          <w:sz w:val="24"/>
          <w:szCs w:val="22"/>
        </w:rPr>
      </w:pPr>
    </w:p>
    <w:p>
      <w:pPr>
        <w:spacing w:line="360" w:lineRule="auto"/>
        <w:jc w:val="center"/>
        <w:rPr>
          <w:rFonts w:ascii="宋体" w:hAnsi="宋体" w:cs="仿宋_GB2312"/>
          <w:b/>
          <w:bCs/>
          <w:color w:val="000000"/>
          <w:kern w:val="0"/>
          <w:sz w:val="24"/>
          <w:szCs w:val="22"/>
        </w:rPr>
      </w:pPr>
    </w:p>
    <w:p>
      <w:pPr>
        <w:spacing w:line="360" w:lineRule="auto"/>
        <w:jc w:val="center"/>
        <w:rPr>
          <w:rFonts w:ascii="宋体" w:hAnsi="宋体" w:cs="仿宋_GB2312"/>
          <w:b/>
          <w:bCs/>
          <w:color w:val="000000"/>
          <w:kern w:val="0"/>
          <w:sz w:val="24"/>
          <w:szCs w:val="22"/>
        </w:rPr>
      </w:pPr>
      <w:r>
        <w:rPr>
          <w:rFonts w:hint="eastAsia" w:ascii="宋体" w:hAnsi="宋体" w:cs="仿宋_GB2312"/>
          <w:b/>
          <w:bCs/>
          <w:color w:val="000000"/>
          <w:kern w:val="0"/>
          <w:sz w:val="24"/>
          <w:szCs w:val="22"/>
        </w:rPr>
        <w:t>3、项目班子成员汇总表</w:t>
      </w:r>
    </w:p>
    <w:tbl>
      <w:tblPr>
        <w:tblStyle w:val="4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1"/>
        <w:gridCol w:w="832"/>
        <w:gridCol w:w="852"/>
        <w:gridCol w:w="1345"/>
        <w:gridCol w:w="599"/>
        <w:gridCol w:w="843"/>
        <w:gridCol w:w="756"/>
        <w:gridCol w:w="1449"/>
        <w:gridCol w:w="929"/>
        <w:gridCol w:w="11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9" w:hRule="atLeast"/>
          <w:jc w:val="center"/>
        </w:trPr>
        <w:tc>
          <w:tcPr>
            <w:tcW w:w="991" w:type="dxa"/>
            <w:vMerge w:val="restart"/>
            <w:vAlign w:val="center"/>
          </w:tcPr>
          <w:p>
            <w:pPr>
              <w:spacing w:line="240" w:lineRule="exact"/>
              <w:jc w:val="center"/>
              <w:rPr>
                <w:rFonts w:ascii="宋体" w:hAnsi="宋体" w:cs="仿宋_GB2312"/>
                <w:color w:val="000000"/>
                <w:kern w:val="0"/>
                <w:sz w:val="24"/>
              </w:rPr>
            </w:pPr>
            <w:r>
              <w:rPr>
                <w:rFonts w:hint="eastAsia" w:ascii="宋体" w:hAnsi="宋体" w:cs="仿宋_GB2312"/>
                <w:color w:val="000000"/>
                <w:kern w:val="0"/>
                <w:sz w:val="24"/>
              </w:rPr>
              <w:t>职务</w:t>
            </w:r>
          </w:p>
        </w:tc>
        <w:tc>
          <w:tcPr>
            <w:tcW w:w="832" w:type="dxa"/>
            <w:vMerge w:val="restart"/>
            <w:vAlign w:val="center"/>
          </w:tcPr>
          <w:p>
            <w:pPr>
              <w:spacing w:line="240" w:lineRule="exact"/>
              <w:jc w:val="center"/>
              <w:rPr>
                <w:rFonts w:ascii="宋体" w:hAnsi="宋体" w:cs="仿宋_GB2312"/>
                <w:color w:val="000000"/>
                <w:kern w:val="0"/>
                <w:sz w:val="24"/>
              </w:rPr>
            </w:pPr>
            <w:r>
              <w:rPr>
                <w:rFonts w:hint="eastAsia" w:ascii="宋体" w:hAnsi="宋体" w:cs="仿宋_GB2312"/>
                <w:color w:val="000000"/>
                <w:kern w:val="0"/>
                <w:sz w:val="24"/>
              </w:rPr>
              <w:t>姓名</w:t>
            </w:r>
          </w:p>
        </w:tc>
        <w:tc>
          <w:tcPr>
            <w:tcW w:w="852" w:type="dxa"/>
            <w:vMerge w:val="restart"/>
            <w:vAlign w:val="center"/>
          </w:tcPr>
          <w:p>
            <w:pPr>
              <w:spacing w:line="240" w:lineRule="exact"/>
              <w:jc w:val="center"/>
              <w:rPr>
                <w:rFonts w:ascii="宋体" w:hAnsi="宋体" w:cs="仿宋_GB2312"/>
                <w:color w:val="000000"/>
                <w:kern w:val="0"/>
                <w:sz w:val="24"/>
              </w:rPr>
            </w:pPr>
            <w:r>
              <w:rPr>
                <w:rFonts w:hint="eastAsia" w:ascii="宋体" w:hAnsi="宋体" w:cs="仿宋_GB2312"/>
                <w:color w:val="000000"/>
                <w:kern w:val="0"/>
                <w:sz w:val="24"/>
              </w:rPr>
              <w:t>职称</w:t>
            </w:r>
          </w:p>
        </w:tc>
        <w:tc>
          <w:tcPr>
            <w:tcW w:w="4992" w:type="dxa"/>
            <w:gridSpan w:val="5"/>
            <w:vAlign w:val="center"/>
          </w:tcPr>
          <w:p>
            <w:pPr>
              <w:spacing w:line="240" w:lineRule="exact"/>
              <w:jc w:val="center"/>
              <w:rPr>
                <w:rFonts w:ascii="宋体" w:hAnsi="宋体" w:cs="仿宋_GB2312"/>
                <w:color w:val="000000"/>
                <w:kern w:val="0"/>
                <w:sz w:val="24"/>
              </w:rPr>
            </w:pPr>
            <w:r>
              <w:rPr>
                <w:rFonts w:hint="eastAsia" w:ascii="宋体" w:hAnsi="宋体" w:cs="仿宋_GB2312"/>
                <w:color w:val="000000"/>
                <w:kern w:val="0"/>
                <w:sz w:val="24"/>
              </w:rPr>
              <w:t>执业或职业资格证明</w:t>
            </w:r>
          </w:p>
        </w:tc>
        <w:tc>
          <w:tcPr>
            <w:tcW w:w="2094" w:type="dxa"/>
            <w:gridSpan w:val="2"/>
            <w:vAlign w:val="center"/>
          </w:tcPr>
          <w:p>
            <w:pPr>
              <w:spacing w:line="240" w:lineRule="exact"/>
              <w:jc w:val="center"/>
              <w:rPr>
                <w:rFonts w:ascii="宋体" w:hAnsi="宋体" w:cs="仿宋_GB2312"/>
                <w:color w:val="000000"/>
                <w:kern w:val="0"/>
                <w:sz w:val="24"/>
              </w:rPr>
            </w:pPr>
            <w:r>
              <w:rPr>
                <w:rFonts w:hint="eastAsia" w:ascii="宋体" w:hAnsi="宋体" w:cs="仿宋_GB2312"/>
                <w:color w:val="000000"/>
                <w:kern w:val="0"/>
                <w:sz w:val="24"/>
              </w:rPr>
              <w:t>类似工程经验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4" w:hRule="atLeast"/>
          <w:jc w:val="center"/>
        </w:trPr>
        <w:tc>
          <w:tcPr>
            <w:tcW w:w="991" w:type="dxa"/>
            <w:vMerge w:val="continue"/>
            <w:vAlign w:val="center"/>
          </w:tcPr>
          <w:p>
            <w:pPr>
              <w:spacing w:line="240" w:lineRule="exact"/>
              <w:jc w:val="center"/>
              <w:rPr>
                <w:rFonts w:ascii="宋体" w:hAnsi="宋体" w:cs="仿宋_GB2312"/>
                <w:color w:val="000000"/>
                <w:kern w:val="0"/>
                <w:sz w:val="24"/>
              </w:rPr>
            </w:pPr>
          </w:p>
        </w:tc>
        <w:tc>
          <w:tcPr>
            <w:tcW w:w="832" w:type="dxa"/>
            <w:vMerge w:val="continue"/>
            <w:vAlign w:val="center"/>
          </w:tcPr>
          <w:p>
            <w:pPr>
              <w:spacing w:line="240" w:lineRule="exact"/>
              <w:jc w:val="center"/>
              <w:rPr>
                <w:rFonts w:ascii="宋体" w:hAnsi="宋体" w:cs="仿宋_GB2312"/>
                <w:color w:val="000000"/>
                <w:kern w:val="0"/>
                <w:sz w:val="24"/>
              </w:rPr>
            </w:pPr>
          </w:p>
        </w:tc>
        <w:tc>
          <w:tcPr>
            <w:tcW w:w="852" w:type="dxa"/>
            <w:vMerge w:val="continue"/>
            <w:vAlign w:val="center"/>
          </w:tcPr>
          <w:p>
            <w:pPr>
              <w:spacing w:line="240" w:lineRule="exact"/>
              <w:jc w:val="center"/>
              <w:rPr>
                <w:rFonts w:ascii="宋体" w:hAnsi="宋体" w:cs="仿宋_GB2312"/>
                <w:color w:val="000000"/>
                <w:kern w:val="0"/>
                <w:sz w:val="24"/>
              </w:rPr>
            </w:pPr>
          </w:p>
        </w:tc>
        <w:tc>
          <w:tcPr>
            <w:tcW w:w="1345" w:type="dxa"/>
            <w:vAlign w:val="center"/>
          </w:tcPr>
          <w:p>
            <w:pPr>
              <w:spacing w:line="240" w:lineRule="exact"/>
              <w:jc w:val="center"/>
              <w:rPr>
                <w:rFonts w:ascii="宋体" w:hAnsi="宋体" w:cs="仿宋_GB2312"/>
                <w:color w:val="000000"/>
                <w:kern w:val="0"/>
                <w:sz w:val="24"/>
              </w:rPr>
            </w:pPr>
            <w:r>
              <w:rPr>
                <w:rFonts w:hint="eastAsia" w:ascii="宋体" w:hAnsi="宋体" w:cs="仿宋_GB2312"/>
                <w:color w:val="000000"/>
                <w:kern w:val="0"/>
                <w:sz w:val="24"/>
              </w:rPr>
              <w:t>证书名称</w:t>
            </w:r>
          </w:p>
        </w:tc>
        <w:tc>
          <w:tcPr>
            <w:tcW w:w="599" w:type="dxa"/>
            <w:vAlign w:val="center"/>
          </w:tcPr>
          <w:p>
            <w:pPr>
              <w:spacing w:line="240" w:lineRule="exact"/>
              <w:jc w:val="center"/>
              <w:rPr>
                <w:rFonts w:ascii="宋体" w:hAnsi="宋体" w:cs="仿宋_GB2312"/>
                <w:color w:val="000000"/>
                <w:kern w:val="0"/>
                <w:sz w:val="24"/>
              </w:rPr>
            </w:pPr>
            <w:r>
              <w:rPr>
                <w:rFonts w:hint="eastAsia" w:ascii="宋体" w:hAnsi="宋体" w:cs="仿宋_GB2312"/>
                <w:color w:val="000000"/>
                <w:kern w:val="0"/>
                <w:sz w:val="24"/>
              </w:rPr>
              <w:t>级别</w:t>
            </w:r>
          </w:p>
        </w:tc>
        <w:tc>
          <w:tcPr>
            <w:tcW w:w="843" w:type="dxa"/>
            <w:vAlign w:val="center"/>
          </w:tcPr>
          <w:p>
            <w:pPr>
              <w:spacing w:line="240" w:lineRule="exact"/>
              <w:jc w:val="center"/>
              <w:rPr>
                <w:rFonts w:ascii="宋体" w:hAnsi="宋体" w:cs="仿宋_GB2312"/>
                <w:color w:val="000000"/>
                <w:kern w:val="0"/>
                <w:sz w:val="24"/>
              </w:rPr>
            </w:pPr>
            <w:r>
              <w:rPr>
                <w:rFonts w:hint="eastAsia" w:ascii="宋体" w:hAnsi="宋体" w:cs="仿宋_GB2312"/>
                <w:color w:val="000000"/>
                <w:kern w:val="0"/>
                <w:sz w:val="24"/>
              </w:rPr>
              <w:t>证号</w:t>
            </w:r>
          </w:p>
        </w:tc>
        <w:tc>
          <w:tcPr>
            <w:tcW w:w="756" w:type="dxa"/>
            <w:vAlign w:val="center"/>
          </w:tcPr>
          <w:p>
            <w:pPr>
              <w:spacing w:line="240" w:lineRule="exact"/>
              <w:jc w:val="center"/>
              <w:rPr>
                <w:rFonts w:ascii="宋体" w:hAnsi="宋体" w:cs="仿宋_GB2312"/>
                <w:color w:val="000000"/>
                <w:kern w:val="0"/>
                <w:sz w:val="24"/>
              </w:rPr>
            </w:pPr>
            <w:r>
              <w:rPr>
                <w:rFonts w:hint="eastAsia" w:ascii="宋体" w:hAnsi="宋体" w:cs="仿宋_GB2312"/>
                <w:color w:val="000000"/>
                <w:kern w:val="0"/>
                <w:sz w:val="24"/>
              </w:rPr>
              <w:t>专业</w:t>
            </w:r>
          </w:p>
        </w:tc>
        <w:tc>
          <w:tcPr>
            <w:tcW w:w="1449" w:type="dxa"/>
            <w:vAlign w:val="center"/>
          </w:tcPr>
          <w:p>
            <w:pPr>
              <w:spacing w:line="240" w:lineRule="exact"/>
              <w:jc w:val="center"/>
              <w:rPr>
                <w:rFonts w:ascii="宋体" w:hAnsi="宋体" w:cs="仿宋_GB2312"/>
                <w:color w:val="000000"/>
                <w:kern w:val="0"/>
                <w:sz w:val="24"/>
              </w:rPr>
            </w:pPr>
            <w:r>
              <w:rPr>
                <w:rFonts w:hint="eastAsia" w:ascii="宋体" w:hAnsi="宋体" w:cs="仿宋_GB2312"/>
                <w:color w:val="000000"/>
                <w:kern w:val="0"/>
                <w:sz w:val="24"/>
              </w:rPr>
              <w:t>原服务单位</w:t>
            </w:r>
          </w:p>
        </w:tc>
        <w:tc>
          <w:tcPr>
            <w:tcW w:w="929" w:type="dxa"/>
            <w:vAlign w:val="center"/>
          </w:tcPr>
          <w:p>
            <w:pPr>
              <w:spacing w:line="240" w:lineRule="exact"/>
              <w:jc w:val="center"/>
              <w:rPr>
                <w:rFonts w:ascii="宋体" w:hAnsi="宋体" w:cs="仿宋_GB2312"/>
                <w:color w:val="000000"/>
                <w:kern w:val="0"/>
                <w:sz w:val="24"/>
              </w:rPr>
            </w:pPr>
            <w:r>
              <w:rPr>
                <w:rFonts w:hint="eastAsia" w:ascii="宋体" w:hAnsi="宋体" w:cs="仿宋_GB2312"/>
                <w:color w:val="000000"/>
                <w:kern w:val="0"/>
                <w:sz w:val="24"/>
              </w:rPr>
              <w:t>项目名称</w:t>
            </w:r>
          </w:p>
        </w:tc>
        <w:tc>
          <w:tcPr>
            <w:tcW w:w="1165" w:type="dxa"/>
            <w:vAlign w:val="center"/>
          </w:tcPr>
          <w:p>
            <w:pPr>
              <w:spacing w:line="240" w:lineRule="exact"/>
              <w:jc w:val="center"/>
              <w:rPr>
                <w:rFonts w:ascii="宋体" w:hAnsi="宋体" w:cs="仿宋_GB2312"/>
                <w:color w:val="000000"/>
                <w:kern w:val="0"/>
                <w:sz w:val="24"/>
              </w:rPr>
            </w:pPr>
            <w:r>
              <w:rPr>
                <w:rFonts w:hint="eastAsia" w:ascii="宋体" w:hAnsi="宋体" w:cs="仿宋_GB2312"/>
                <w:color w:val="000000"/>
                <w:kern w:val="0"/>
                <w:sz w:val="24"/>
              </w:rPr>
              <w:t>担任职务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991" w:type="dxa"/>
            <w:vAlign w:val="center"/>
          </w:tcPr>
          <w:p>
            <w:pPr>
              <w:jc w:val="left"/>
              <w:rPr>
                <w:rFonts w:ascii="宋体" w:hAnsi="宋体" w:cs="仿宋_GB2312"/>
                <w:color w:val="000000"/>
                <w:kern w:val="0"/>
                <w:sz w:val="24"/>
              </w:rPr>
            </w:pPr>
            <w:r>
              <w:rPr>
                <w:rFonts w:hint="eastAsia" w:ascii="宋体" w:hAnsi="宋体" w:cs="仿宋_GB2312"/>
                <w:color w:val="000000"/>
                <w:kern w:val="0"/>
                <w:sz w:val="24"/>
              </w:rPr>
              <w:t>项目负责人</w:t>
            </w:r>
          </w:p>
        </w:tc>
        <w:tc>
          <w:tcPr>
            <w:tcW w:w="832" w:type="dxa"/>
          </w:tcPr>
          <w:p>
            <w:pPr>
              <w:jc w:val="left"/>
              <w:rPr>
                <w:rFonts w:ascii="宋体" w:hAnsi="宋体" w:cs="仿宋_GB2312"/>
                <w:color w:val="000000"/>
                <w:kern w:val="0"/>
                <w:sz w:val="24"/>
              </w:rPr>
            </w:pPr>
          </w:p>
        </w:tc>
        <w:tc>
          <w:tcPr>
            <w:tcW w:w="852" w:type="dxa"/>
          </w:tcPr>
          <w:p>
            <w:pPr>
              <w:jc w:val="left"/>
              <w:rPr>
                <w:rFonts w:ascii="宋体" w:hAnsi="宋体" w:cs="仿宋_GB2312"/>
                <w:color w:val="000000"/>
                <w:kern w:val="0"/>
                <w:sz w:val="24"/>
              </w:rPr>
            </w:pPr>
          </w:p>
        </w:tc>
        <w:tc>
          <w:tcPr>
            <w:tcW w:w="1345" w:type="dxa"/>
          </w:tcPr>
          <w:p>
            <w:pPr>
              <w:jc w:val="left"/>
              <w:rPr>
                <w:rFonts w:ascii="宋体" w:hAnsi="宋体" w:cs="仿宋_GB2312"/>
                <w:color w:val="000000"/>
                <w:kern w:val="0"/>
                <w:sz w:val="24"/>
              </w:rPr>
            </w:pPr>
          </w:p>
        </w:tc>
        <w:tc>
          <w:tcPr>
            <w:tcW w:w="599" w:type="dxa"/>
          </w:tcPr>
          <w:p>
            <w:pPr>
              <w:jc w:val="left"/>
              <w:rPr>
                <w:rFonts w:ascii="宋体" w:hAnsi="宋体" w:cs="仿宋_GB2312"/>
                <w:color w:val="000000"/>
                <w:kern w:val="0"/>
                <w:sz w:val="24"/>
              </w:rPr>
            </w:pPr>
          </w:p>
        </w:tc>
        <w:tc>
          <w:tcPr>
            <w:tcW w:w="843" w:type="dxa"/>
          </w:tcPr>
          <w:p>
            <w:pPr>
              <w:jc w:val="left"/>
              <w:rPr>
                <w:rFonts w:ascii="宋体" w:hAnsi="宋体" w:cs="仿宋_GB2312"/>
                <w:color w:val="000000"/>
                <w:kern w:val="0"/>
                <w:sz w:val="24"/>
              </w:rPr>
            </w:pPr>
          </w:p>
        </w:tc>
        <w:tc>
          <w:tcPr>
            <w:tcW w:w="756" w:type="dxa"/>
          </w:tcPr>
          <w:p>
            <w:pPr>
              <w:jc w:val="left"/>
              <w:rPr>
                <w:rFonts w:ascii="宋体" w:hAnsi="宋体" w:cs="仿宋_GB2312"/>
                <w:color w:val="000000"/>
                <w:kern w:val="0"/>
                <w:sz w:val="24"/>
              </w:rPr>
            </w:pPr>
          </w:p>
        </w:tc>
        <w:tc>
          <w:tcPr>
            <w:tcW w:w="1449" w:type="dxa"/>
          </w:tcPr>
          <w:p>
            <w:pPr>
              <w:jc w:val="left"/>
              <w:rPr>
                <w:rFonts w:ascii="宋体" w:hAnsi="宋体" w:cs="仿宋_GB2312"/>
                <w:color w:val="000000"/>
                <w:kern w:val="0"/>
                <w:sz w:val="24"/>
              </w:rPr>
            </w:pPr>
          </w:p>
        </w:tc>
        <w:tc>
          <w:tcPr>
            <w:tcW w:w="929" w:type="dxa"/>
          </w:tcPr>
          <w:p>
            <w:pPr>
              <w:jc w:val="left"/>
              <w:rPr>
                <w:rFonts w:ascii="宋体" w:hAnsi="宋体" w:cs="仿宋_GB2312"/>
                <w:color w:val="000000"/>
                <w:kern w:val="0"/>
                <w:sz w:val="24"/>
              </w:rPr>
            </w:pPr>
          </w:p>
        </w:tc>
        <w:tc>
          <w:tcPr>
            <w:tcW w:w="1165" w:type="dxa"/>
          </w:tcPr>
          <w:p>
            <w:pPr>
              <w:jc w:val="left"/>
              <w:rPr>
                <w:rFonts w:ascii="宋体" w:hAnsi="宋体" w:cs="仿宋_GB2312"/>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991" w:type="dxa"/>
            <w:vAlign w:val="center"/>
          </w:tcPr>
          <w:p>
            <w:pPr>
              <w:jc w:val="left"/>
              <w:rPr>
                <w:rFonts w:ascii="宋体" w:hAnsi="宋体" w:cs="仿宋_GB2312"/>
                <w:color w:val="000000"/>
                <w:kern w:val="0"/>
                <w:sz w:val="24"/>
              </w:rPr>
            </w:pPr>
            <w:r>
              <w:rPr>
                <w:rFonts w:hint="eastAsia" w:ascii="宋体" w:hAnsi="宋体" w:cs="仿宋_GB2312"/>
                <w:color w:val="000000"/>
                <w:kern w:val="0"/>
                <w:sz w:val="24"/>
              </w:rPr>
              <w:t>技术负责人</w:t>
            </w:r>
          </w:p>
        </w:tc>
        <w:tc>
          <w:tcPr>
            <w:tcW w:w="832" w:type="dxa"/>
          </w:tcPr>
          <w:p>
            <w:pPr>
              <w:jc w:val="left"/>
              <w:rPr>
                <w:rFonts w:ascii="宋体" w:hAnsi="宋体" w:cs="仿宋_GB2312"/>
                <w:color w:val="000000"/>
                <w:kern w:val="0"/>
                <w:sz w:val="24"/>
              </w:rPr>
            </w:pPr>
          </w:p>
        </w:tc>
        <w:tc>
          <w:tcPr>
            <w:tcW w:w="852" w:type="dxa"/>
          </w:tcPr>
          <w:p>
            <w:pPr>
              <w:jc w:val="left"/>
              <w:rPr>
                <w:rFonts w:ascii="宋体" w:hAnsi="宋体" w:cs="仿宋_GB2312"/>
                <w:color w:val="000000"/>
                <w:kern w:val="0"/>
                <w:sz w:val="24"/>
              </w:rPr>
            </w:pPr>
          </w:p>
        </w:tc>
        <w:tc>
          <w:tcPr>
            <w:tcW w:w="1345" w:type="dxa"/>
          </w:tcPr>
          <w:p>
            <w:pPr>
              <w:jc w:val="left"/>
              <w:rPr>
                <w:rFonts w:ascii="宋体" w:hAnsi="宋体" w:cs="仿宋_GB2312"/>
                <w:color w:val="000000"/>
                <w:kern w:val="0"/>
                <w:sz w:val="24"/>
              </w:rPr>
            </w:pPr>
          </w:p>
        </w:tc>
        <w:tc>
          <w:tcPr>
            <w:tcW w:w="599" w:type="dxa"/>
          </w:tcPr>
          <w:p>
            <w:pPr>
              <w:jc w:val="left"/>
              <w:rPr>
                <w:rFonts w:ascii="宋体" w:hAnsi="宋体" w:cs="仿宋_GB2312"/>
                <w:color w:val="000000"/>
                <w:kern w:val="0"/>
                <w:sz w:val="24"/>
              </w:rPr>
            </w:pPr>
          </w:p>
        </w:tc>
        <w:tc>
          <w:tcPr>
            <w:tcW w:w="843" w:type="dxa"/>
          </w:tcPr>
          <w:p>
            <w:pPr>
              <w:jc w:val="left"/>
              <w:rPr>
                <w:rFonts w:ascii="宋体" w:hAnsi="宋体" w:cs="仿宋_GB2312"/>
                <w:color w:val="000000"/>
                <w:kern w:val="0"/>
                <w:sz w:val="24"/>
              </w:rPr>
            </w:pPr>
          </w:p>
        </w:tc>
        <w:tc>
          <w:tcPr>
            <w:tcW w:w="756" w:type="dxa"/>
          </w:tcPr>
          <w:p>
            <w:pPr>
              <w:jc w:val="left"/>
              <w:rPr>
                <w:rFonts w:ascii="宋体" w:hAnsi="宋体" w:cs="仿宋_GB2312"/>
                <w:color w:val="000000"/>
                <w:kern w:val="0"/>
                <w:sz w:val="24"/>
              </w:rPr>
            </w:pPr>
          </w:p>
        </w:tc>
        <w:tc>
          <w:tcPr>
            <w:tcW w:w="1449" w:type="dxa"/>
          </w:tcPr>
          <w:p>
            <w:pPr>
              <w:jc w:val="left"/>
              <w:rPr>
                <w:rFonts w:ascii="宋体" w:hAnsi="宋体" w:cs="仿宋_GB2312"/>
                <w:color w:val="000000"/>
                <w:kern w:val="0"/>
                <w:sz w:val="24"/>
              </w:rPr>
            </w:pPr>
          </w:p>
        </w:tc>
        <w:tc>
          <w:tcPr>
            <w:tcW w:w="929" w:type="dxa"/>
          </w:tcPr>
          <w:p>
            <w:pPr>
              <w:jc w:val="left"/>
              <w:rPr>
                <w:rFonts w:ascii="宋体" w:hAnsi="宋体" w:cs="仿宋_GB2312"/>
                <w:color w:val="000000"/>
                <w:kern w:val="0"/>
                <w:sz w:val="24"/>
              </w:rPr>
            </w:pPr>
          </w:p>
        </w:tc>
        <w:tc>
          <w:tcPr>
            <w:tcW w:w="1165" w:type="dxa"/>
          </w:tcPr>
          <w:p>
            <w:pPr>
              <w:jc w:val="left"/>
              <w:rPr>
                <w:rFonts w:ascii="宋体" w:hAnsi="宋体" w:cs="仿宋_GB2312"/>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991" w:type="dxa"/>
            <w:vAlign w:val="center"/>
          </w:tcPr>
          <w:p>
            <w:pPr>
              <w:jc w:val="left"/>
              <w:rPr>
                <w:rFonts w:ascii="宋体" w:hAnsi="宋体" w:cs="仿宋_GB2312"/>
                <w:color w:val="000000"/>
                <w:kern w:val="0"/>
                <w:sz w:val="24"/>
              </w:rPr>
            </w:pPr>
          </w:p>
        </w:tc>
        <w:tc>
          <w:tcPr>
            <w:tcW w:w="832" w:type="dxa"/>
          </w:tcPr>
          <w:p>
            <w:pPr>
              <w:jc w:val="left"/>
              <w:rPr>
                <w:rFonts w:ascii="宋体" w:hAnsi="宋体" w:cs="仿宋_GB2312"/>
                <w:color w:val="000000"/>
                <w:kern w:val="0"/>
                <w:sz w:val="24"/>
              </w:rPr>
            </w:pPr>
          </w:p>
        </w:tc>
        <w:tc>
          <w:tcPr>
            <w:tcW w:w="852" w:type="dxa"/>
          </w:tcPr>
          <w:p>
            <w:pPr>
              <w:jc w:val="left"/>
              <w:rPr>
                <w:rFonts w:ascii="宋体" w:hAnsi="宋体" w:cs="仿宋_GB2312"/>
                <w:color w:val="000000"/>
                <w:kern w:val="0"/>
                <w:sz w:val="24"/>
              </w:rPr>
            </w:pPr>
          </w:p>
        </w:tc>
        <w:tc>
          <w:tcPr>
            <w:tcW w:w="1345" w:type="dxa"/>
          </w:tcPr>
          <w:p>
            <w:pPr>
              <w:jc w:val="left"/>
              <w:rPr>
                <w:rFonts w:ascii="宋体" w:hAnsi="宋体" w:cs="仿宋_GB2312"/>
                <w:color w:val="000000"/>
                <w:kern w:val="0"/>
                <w:sz w:val="24"/>
              </w:rPr>
            </w:pPr>
          </w:p>
        </w:tc>
        <w:tc>
          <w:tcPr>
            <w:tcW w:w="599" w:type="dxa"/>
          </w:tcPr>
          <w:p>
            <w:pPr>
              <w:jc w:val="left"/>
              <w:rPr>
                <w:rFonts w:ascii="宋体" w:hAnsi="宋体" w:cs="仿宋_GB2312"/>
                <w:color w:val="000000"/>
                <w:kern w:val="0"/>
                <w:sz w:val="24"/>
              </w:rPr>
            </w:pPr>
          </w:p>
        </w:tc>
        <w:tc>
          <w:tcPr>
            <w:tcW w:w="843" w:type="dxa"/>
          </w:tcPr>
          <w:p>
            <w:pPr>
              <w:jc w:val="left"/>
              <w:rPr>
                <w:rFonts w:ascii="宋体" w:hAnsi="宋体" w:cs="仿宋_GB2312"/>
                <w:color w:val="000000"/>
                <w:kern w:val="0"/>
                <w:sz w:val="24"/>
              </w:rPr>
            </w:pPr>
          </w:p>
        </w:tc>
        <w:tc>
          <w:tcPr>
            <w:tcW w:w="756" w:type="dxa"/>
          </w:tcPr>
          <w:p>
            <w:pPr>
              <w:jc w:val="left"/>
              <w:rPr>
                <w:rFonts w:ascii="宋体" w:hAnsi="宋体" w:cs="仿宋_GB2312"/>
                <w:color w:val="000000"/>
                <w:kern w:val="0"/>
                <w:sz w:val="24"/>
              </w:rPr>
            </w:pPr>
          </w:p>
        </w:tc>
        <w:tc>
          <w:tcPr>
            <w:tcW w:w="1449" w:type="dxa"/>
          </w:tcPr>
          <w:p>
            <w:pPr>
              <w:jc w:val="left"/>
              <w:rPr>
                <w:rFonts w:ascii="宋体" w:hAnsi="宋体" w:cs="仿宋_GB2312"/>
                <w:color w:val="000000"/>
                <w:kern w:val="0"/>
                <w:sz w:val="24"/>
              </w:rPr>
            </w:pPr>
          </w:p>
        </w:tc>
        <w:tc>
          <w:tcPr>
            <w:tcW w:w="929" w:type="dxa"/>
          </w:tcPr>
          <w:p>
            <w:pPr>
              <w:jc w:val="left"/>
              <w:rPr>
                <w:rFonts w:ascii="宋体" w:hAnsi="宋体" w:cs="仿宋_GB2312"/>
                <w:color w:val="000000"/>
                <w:kern w:val="0"/>
                <w:sz w:val="24"/>
              </w:rPr>
            </w:pPr>
          </w:p>
        </w:tc>
        <w:tc>
          <w:tcPr>
            <w:tcW w:w="1165" w:type="dxa"/>
          </w:tcPr>
          <w:p>
            <w:pPr>
              <w:jc w:val="left"/>
              <w:rPr>
                <w:rFonts w:ascii="宋体" w:hAnsi="宋体" w:cs="仿宋_GB2312"/>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991" w:type="dxa"/>
            <w:vAlign w:val="center"/>
          </w:tcPr>
          <w:p>
            <w:pPr>
              <w:jc w:val="left"/>
              <w:rPr>
                <w:rFonts w:ascii="宋体" w:hAnsi="宋体" w:cs="仿宋_GB2312"/>
                <w:color w:val="000000"/>
                <w:kern w:val="0"/>
                <w:sz w:val="24"/>
              </w:rPr>
            </w:pPr>
          </w:p>
        </w:tc>
        <w:tc>
          <w:tcPr>
            <w:tcW w:w="832" w:type="dxa"/>
            <w:vAlign w:val="center"/>
          </w:tcPr>
          <w:p>
            <w:pPr>
              <w:jc w:val="left"/>
              <w:rPr>
                <w:rFonts w:ascii="宋体" w:hAnsi="宋体" w:cs="仿宋_GB2312"/>
                <w:color w:val="000000"/>
                <w:kern w:val="0"/>
                <w:sz w:val="24"/>
              </w:rPr>
            </w:pPr>
          </w:p>
        </w:tc>
        <w:tc>
          <w:tcPr>
            <w:tcW w:w="852" w:type="dxa"/>
          </w:tcPr>
          <w:p>
            <w:pPr>
              <w:jc w:val="left"/>
              <w:rPr>
                <w:rFonts w:ascii="宋体" w:hAnsi="宋体" w:cs="仿宋_GB2312"/>
                <w:color w:val="000000"/>
                <w:kern w:val="0"/>
                <w:sz w:val="24"/>
              </w:rPr>
            </w:pPr>
          </w:p>
        </w:tc>
        <w:tc>
          <w:tcPr>
            <w:tcW w:w="1345" w:type="dxa"/>
          </w:tcPr>
          <w:p>
            <w:pPr>
              <w:jc w:val="left"/>
              <w:rPr>
                <w:rFonts w:ascii="宋体" w:hAnsi="宋体" w:cs="仿宋_GB2312"/>
                <w:color w:val="000000"/>
                <w:kern w:val="0"/>
                <w:sz w:val="24"/>
              </w:rPr>
            </w:pPr>
          </w:p>
        </w:tc>
        <w:tc>
          <w:tcPr>
            <w:tcW w:w="599" w:type="dxa"/>
          </w:tcPr>
          <w:p>
            <w:pPr>
              <w:jc w:val="left"/>
              <w:rPr>
                <w:rFonts w:ascii="宋体" w:hAnsi="宋体" w:cs="仿宋_GB2312"/>
                <w:color w:val="000000"/>
                <w:kern w:val="0"/>
                <w:sz w:val="24"/>
              </w:rPr>
            </w:pPr>
          </w:p>
        </w:tc>
        <w:tc>
          <w:tcPr>
            <w:tcW w:w="843" w:type="dxa"/>
          </w:tcPr>
          <w:p>
            <w:pPr>
              <w:jc w:val="left"/>
              <w:rPr>
                <w:rFonts w:ascii="宋体" w:hAnsi="宋体" w:cs="仿宋_GB2312"/>
                <w:color w:val="000000"/>
                <w:kern w:val="0"/>
                <w:sz w:val="24"/>
              </w:rPr>
            </w:pPr>
          </w:p>
        </w:tc>
        <w:tc>
          <w:tcPr>
            <w:tcW w:w="756" w:type="dxa"/>
          </w:tcPr>
          <w:p>
            <w:pPr>
              <w:jc w:val="left"/>
              <w:rPr>
                <w:rFonts w:ascii="宋体" w:hAnsi="宋体" w:cs="仿宋_GB2312"/>
                <w:color w:val="000000"/>
                <w:kern w:val="0"/>
                <w:sz w:val="24"/>
              </w:rPr>
            </w:pPr>
          </w:p>
        </w:tc>
        <w:tc>
          <w:tcPr>
            <w:tcW w:w="1449" w:type="dxa"/>
          </w:tcPr>
          <w:p>
            <w:pPr>
              <w:jc w:val="left"/>
              <w:rPr>
                <w:rFonts w:ascii="宋体" w:hAnsi="宋体" w:cs="仿宋_GB2312"/>
                <w:color w:val="000000"/>
                <w:kern w:val="0"/>
                <w:sz w:val="24"/>
              </w:rPr>
            </w:pPr>
          </w:p>
        </w:tc>
        <w:tc>
          <w:tcPr>
            <w:tcW w:w="929" w:type="dxa"/>
          </w:tcPr>
          <w:p>
            <w:pPr>
              <w:jc w:val="left"/>
              <w:rPr>
                <w:rFonts w:ascii="宋体" w:hAnsi="宋体" w:cs="仿宋_GB2312"/>
                <w:color w:val="000000"/>
                <w:kern w:val="0"/>
                <w:sz w:val="24"/>
              </w:rPr>
            </w:pPr>
          </w:p>
        </w:tc>
        <w:tc>
          <w:tcPr>
            <w:tcW w:w="1165" w:type="dxa"/>
          </w:tcPr>
          <w:p>
            <w:pPr>
              <w:jc w:val="left"/>
              <w:rPr>
                <w:rFonts w:ascii="宋体" w:hAnsi="宋体" w:cs="仿宋_GB2312"/>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991" w:type="dxa"/>
            <w:vAlign w:val="center"/>
          </w:tcPr>
          <w:p>
            <w:pPr>
              <w:jc w:val="left"/>
              <w:rPr>
                <w:rFonts w:ascii="宋体" w:hAnsi="宋体" w:cs="仿宋_GB2312"/>
                <w:color w:val="000000"/>
                <w:kern w:val="0"/>
                <w:sz w:val="24"/>
              </w:rPr>
            </w:pPr>
          </w:p>
        </w:tc>
        <w:tc>
          <w:tcPr>
            <w:tcW w:w="832" w:type="dxa"/>
            <w:vAlign w:val="center"/>
          </w:tcPr>
          <w:p>
            <w:pPr>
              <w:jc w:val="left"/>
              <w:rPr>
                <w:rFonts w:ascii="宋体" w:hAnsi="宋体" w:cs="仿宋_GB2312"/>
                <w:color w:val="000000"/>
                <w:kern w:val="0"/>
                <w:sz w:val="24"/>
              </w:rPr>
            </w:pPr>
          </w:p>
        </w:tc>
        <w:tc>
          <w:tcPr>
            <w:tcW w:w="852" w:type="dxa"/>
          </w:tcPr>
          <w:p>
            <w:pPr>
              <w:jc w:val="left"/>
              <w:rPr>
                <w:rFonts w:ascii="宋体" w:hAnsi="宋体" w:cs="仿宋_GB2312"/>
                <w:color w:val="000000"/>
                <w:kern w:val="0"/>
                <w:sz w:val="24"/>
              </w:rPr>
            </w:pPr>
          </w:p>
        </w:tc>
        <w:tc>
          <w:tcPr>
            <w:tcW w:w="1345" w:type="dxa"/>
          </w:tcPr>
          <w:p>
            <w:pPr>
              <w:jc w:val="left"/>
              <w:rPr>
                <w:rFonts w:ascii="宋体" w:hAnsi="宋体" w:cs="仿宋_GB2312"/>
                <w:color w:val="000000"/>
                <w:kern w:val="0"/>
                <w:sz w:val="24"/>
              </w:rPr>
            </w:pPr>
          </w:p>
        </w:tc>
        <w:tc>
          <w:tcPr>
            <w:tcW w:w="599" w:type="dxa"/>
          </w:tcPr>
          <w:p>
            <w:pPr>
              <w:jc w:val="left"/>
              <w:rPr>
                <w:rFonts w:ascii="宋体" w:hAnsi="宋体" w:cs="仿宋_GB2312"/>
                <w:color w:val="000000"/>
                <w:kern w:val="0"/>
                <w:sz w:val="24"/>
              </w:rPr>
            </w:pPr>
          </w:p>
        </w:tc>
        <w:tc>
          <w:tcPr>
            <w:tcW w:w="843" w:type="dxa"/>
          </w:tcPr>
          <w:p>
            <w:pPr>
              <w:jc w:val="left"/>
              <w:rPr>
                <w:rFonts w:ascii="宋体" w:hAnsi="宋体" w:cs="仿宋_GB2312"/>
                <w:color w:val="000000"/>
                <w:kern w:val="0"/>
                <w:sz w:val="24"/>
              </w:rPr>
            </w:pPr>
          </w:p>
        </w:tc>
        <w:tc>
          <w:tcPr>
            <w:tcW w:w="756" w:type="dxa"/>
          </w:tcPr>
          <w:p>
            <w:pPr>
              <w:jc w:val="left"/>
              <w:rPr>
                <w:rFonts w:ascii="宋体" w:hAnsi="宋体" w:cs="仿宋_GB2312"/>
                <w:color w:val="000000"/>
                <w:kern w:val="0"/>
                <w:sz w:val="24"/>
              </w:rPr>
            </w:pPr>
          </w:p>
        </w:tc>
        <w:tc>
          <w:tcPr>
            <w:tcW w:w="1449" w:type="dxa"/>
          </w:tcPr>
          <w:p>
            <w:pPr>
              <w:jc w:val="left"/>
              <w:rPr>
                <w:rFonts w:ascii="宋体" w:hAnsi="宋体" w:cs="仿宋_GB2312"/>
                <w:color w:val="000000"/>
                <w:kern w:val="0"/>
                <w:sz w:val="24"/>
              </w:rPr>
            </w:pPr>
          </w:p>
        </w:tc>
        <w:tc>
          <w:tcPr>
            <w:tcW w:w="929" w:type="dxa"/>
          </w:tcPr>
          <w:p>
            <w:pPr>
              <w:jc w:val="left"/>
              <w:rPr>
                <w:rFonts w:ascii="宋体" w:hAnsi="宋体" w:cs="仿宋_GB2312"/>
                <w:color w:val="000000"/>
                <w:kern w:val="0"/>
                <w:sz w:val="24"/>
              </w:rPr>
            </w:pPr>
          </w:p>
        </w:tc>
        <w:tc>
          <w:tcPr>
            <w:tcW w:w="1165" w:type="dxa"/>
          </w:tcPr>
          <w:p>
            <w:pPr>
              <w:jc w:val="left"/>
              <w:rPr>
                <w:rFonts w:ascii="宋体" w:hAnsi="宋体" w:cs="仿宋_GB2312"/>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991" w:type="dxa"/>
            <w:vAlign w:val="center"/>
          </w:tcPr>
          <w:p>
            <w:pPr>
              <w:jc w:val="left"/>
              <w:rPr>
                <w:rFonts w:ascii="宋体" w:hAnsi="宋体" w:cs="仿宋_GB2312"/>
                <w:color w:val="000000"/>
                <w:kern w:val="0"/>
                <w:sz w:val="24"/>
              </w:rPr>
            </w:pPr>
          </w:p>
        </w:tc>
        <w:tc>
          <w:tcPr>
            <w:tcW w:w="832" w:type="dxa"/>
            <w:vAlign w:val="center"/>
          </w:tcPr>
          <w:p>
            <w:pPr>
              <w:jc w:val="left"/>
              <w:rPr>
                <w:rFonts w:ascii="宋体" w:hAnsi="宋体" w:cs="仿宋_GB2312"/>
                <w:color w:val="000000"/>
                <w:kern w:val="0"/>
                <w:sz w:val="24"/>
              </w:rPr>
            </w:pPr>
          </w:p>
        </w:tc>
        <w:tc>
          <w:tcPr>
            <w:tcW w:w="852" w:type="dxa"/>
          </w:tcPr>
          <w:p>
            <w:pPr>
              <w:jc w:val="left"/>
              <w:rPr>
                <w:rFonts w:ascii="宋体" w:hAnsi="宋体" w:cs="仿宋_GB2312"/>
                <w:color w:val="000000"/>
                <w:kern w:val="0"/>
                <w:sz w:val="24"/>
              </w:rPr>
            </w:pPr>
          </w:p>
        </w:tc>
        <w:tc>
          <w:tcPr>
            <w:tcW w:w="1345" w:type="dxa"/>
          </w:tcPr>
          <w:p>
            <w:pPr>
              <w:jc w:val="left"/>
              <w:rPr>
                <w:rFonts w:ascii="宋体" w:hAnsi="宋体" w:cs="仿宋_GB2312"/>
                <w:color w:val="000000"/>
                <w:kern w:val="0"/>
                <w:sz w:val="24"/>
              </w:rPr>
            </w:pPr>
          </w:p>
        </w:tc>
        <w:tc>
          <w:tcPr>
            <w:tcW w:w="599" w:type="dxa"/>
          </w:tcPr>
          <w:p>
            <w:pPr>
              <w:jc w:val="left"/>
              <w:rPr>
                <w:rFonts w:ascii="宋体" w:hAnsi="宋体" w:cs="仿宋_GB2312"/>
                <w:color w:val="000000"/>
                <w:kern w:val="0"/>
                <w:sz w:val="24"/>
              </w:rPr>
            </w:pPr>
          </w:p>
        </w:tc>
        <w:tc>
          <w:tcPr>
            <w:tcW w:w="843" w:type="dxa"/>
          </w:tcPr>
          <w:p>
            <w:pPr>
              <w:jc w:val="left"/>
              <w:rPr>
                <w:rFonts w:ascii="宋体" w:hAnsi="宋体" w:cs="仿宋_GB2312"/>
                <w:color w:val="000000"/>
                <w:kern w:val="0"/>
                <w:sz w:val="24"/>
              </w:rPr>
            </w:pPr>
          </w:p>
        </w:tc>
        <w:tc>
          <w:tcPr>
            <w:tcW w:w="756" w:type="dxa"/>
          </w:tcPr>
          <w:p>
            <w:pPr>
              <w:jc w:val="left"/>
              <w:rPr>
                <w:rFonts w:ascii="宋体" w:hAnsi="宋体" w:cs="仿宋_GB2312"/>
                <w:color w:val="000000"/>
                <w:kern w:val="0"/>
                <w:sz w:val="24"/>
              </w:rPr>
            </w:pPr>
          </w:p>
        </w:tc>
        <w:tc>
          <w:tcPr>
            <w:tcW w:w="1449" w:type="dxa"/>
          </w:tcPr>
          <w:p>
            <w:pPr>
              <w:jc w:val="left"/>
              <w:rPr>
                <w:rFonts w:ascii="宋体" w:hAnsi="宋体" w:cs="仿宋_GB2312"/>
                <w:color w:val="000000"/>
                <w:kern w:val="0"/>
                <w:sz w:val="24"/>
              </w:rPr>
            </w:pPr>
          </w:p>
        </w:tc>
        <w:tc>
          <w:tcPr>
            <w:tcW w:w="929" w:type="dxa"/>
          </w:tcPr>
          <w:p>
            <w:pPr>
              <w:jc w:val="left"/>
              <w:rPr>
                <w:rFonts w:ascii="宋体" w:hAnsi="宋体" w:cs="仿宋_GB2312"/>
                <w:color w:val="000000"/>
                <w:kern w:val="0"/>
                <w:sz w:val="24"/>
              </w:rPr>
            </w:pPr>
          </w:p>
        </w:tc>
        <w:tc>
          <w:tcPr>
            <w:tcW w:w="1165" w:type="dxa"/>
          </w:tcPr>
          <w:p>
            <w:pPr>
              <w:jc w:val="left"/>
              <w:rPr>
                <w:rFonts w:ascii="宋体" w:hAnsi="宋体" w:cs="仿宋_GB2312"/>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991" w:type="dxa"/>
            <w:vAlign w:val="center"/>
          </w:tcPr>
          <w:p>
            <w:pPr>
              <w:jc w:val="left"/>
              <w:rPr>
                <w:rFonts w:ascii="宋体" w:hAnsi="宋体" w:cs="仿宋_GB2312"/>
                <w:color w:val="000000"/>
                <w:kern w:val="0"/>
                <w:sz w:val="24"/>
              </w:rPr>
            </w:pPr>
          </w:p>
        </w:tc>
        <w:tc>
          <w:tcPr>
            <w:tcW w:w="832" w:type="dxa"/>
          </w:tcPr>
          <w:p>
            <w:pPr>
              <w:jc w:val="left"/>
              <w:rPr>
                <w:rFonts w:ascii="宋体" w:hAnsi="宋体" w:cs="仿宋_GB2312"/>
                <w:color w:val="000000"/>
                <w:kern w:val="0"/>
                <w:sz w:val="24"/>
              </w:rPr>
            </w:pPr>
          </w:p>
        </w:tc>
        <w:tc>
          <w:tcPr>
            <w:tcW w:w="852" w:type="dxa"/>
          </w:tcPr>
          <w:p>
            <w:pPr>
              <w:jc w:val="left"/>
              <w:rPr>
                <w:rFonts w:ascii="宋体" w:hAnsi="宋体" w:cs="仿宋_GB2312"/>
                <w:color w:val="000000"/>
                <w:kern w:val="0"/>
                <w:sz w:val="24"/>
              </w:rPr>
            </w:pPr>
          </w:p>
        </w:tc>
        <w:tc>
          <w:tcPr>
            <w:tcW w:w="1345" w:type="dxa"/>
          </w:tcPr>
          <w:p>
            <w:pPr>
              <w:jc w:val="left"/>
              <w:rPr>
                <w:rFonts w:ascii="宋体" w:hAnsi="宋体" w:cs="仿宋_GB2312"/>
                <w:color w:val="000000"/>
                <w:kern w:val="0"/>
                <w:sz w:val="24"/>
              </w:rPr>
            </w:pPr>
          </w:p>
        </w:tc>
        <w:tc>
          <w:tcPr>
            <w:tcW w:w="599" w:type="dxa"/>
          </w:tcPr>
          <w:p>
            <w:pPr>
              <w:jc w:val="left"/>
              <w:rPr>
                <w:rFonts w:ascii="宋体" w:hAnsi="宋体" w:cs="仿宋_GB2312"/>
                <w:color w:val="000000"/>
                <w:kern w:val="0"/>
                <w:sz w:val="24"/>
              </w:rPr>
            </w:pPr>
          </w:p>
        </w:tc>
        <w:tc>
          <w:tcPr>
            <w:tcW w:w="843" w:type="dxa"/>
          </w:tcPr>
          <w:p>
            <w:pPr>
              <w:jc w:val="left"/>
              <w:rPr>
                <w:rFonts w:ascii="宋体" w:hAnsi="宋体" w:cs="仿宋_GB2312"/>
                <w:color w:val="000000"/>
                <w:kern w:val="0"/>
                <w:sz w:val="24"/>
              </w:rPr>
            </w:pPr>
          </w:p>
        </w:tc>
        <w:tc>
          <w:tcPr>
            <w:tcW w:w="756" w:type="dxa"/>
          </w:tcPr>
          <w:p>
            <w:pPr>
              <w:jc w:val="left"/>
              <w:rPr>
                <w:rFonts w:ascii="宋体" w:hAnsi="宋体" w:cs="仿宋_GB2312"/>
                <w:color w:val="000000"/>
                <w:kern w:val="0"/>
                <w:sz w:val="24"/>
              </w:rPr>
            </w:pPr>
          </w:p>
        </w:tc>
        <w:tc>
          <w:tcPr>
            <w:tcW w:w="1449" w:type="dxa"/>
          </w:tcPr>
          <w:p>
            <w:pPr>
              <w:jc w:val="left"/>
              <w:rPr>
                <w:rFonts w:ascii="宋体" w:hAnsi="宋体" w:cs="仿宋_GB2312"/>
                <w:color w:val="000000"/>
                <w:kern w:val="0"/>
                <w:sz w:val="24"/>
              </w:rPr>
            </w:pPr>
          </w:p>
        </w:tc>
        <w:tc>
          <w:tcPr>
            <w:tcW w:w="929" w:type="dxa"/>
          </w:tcPr>
          <w:p>
            <w:pPr>
              <w:jc w:val="left"/>
              <w:rPr>
                <w:rFonts w:ascii="宋体" w:hAnsi="宋体" w:cs="仿宋_GB2312"/>
                <w:color w:val="000000"/>
                <w:kern w:val="0"/>
                <w:sz w:val="24"/>
              </w:rPr>
            </w:pPr>
          </w:p>
        </w:tc>
        <w:tc>
          <w:tcPr>
            <w:tcW w:w="1165" w:type="dxa"/>
          </w:tcPr>
          <w:p>
            <w:pPr>
              <w:jc w:val="left"/>
              <w:rPr>
                <w:rFonts w:ascii="宋体" w:hAnsi="宋体" w:cs="仿宋_GB2312"/>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991" w:type="dxa"/>
          </w:tcPr>
          <w:p>
            <w:pPr>
              <w:jc w:val="left"/>
              <w:rPr>
                <w:rFonts w:ascii="宋体" w:hAnsi="宋体" w:cs="仿宋_GB2312"/>
                <w:color w:val="000000"/>
                <w:kern w:val="0"/>
                <w:sz w:val="24"/>
              </w:rPr>
            </w:pPr>
          </w:p>
        </w:tc>
        <w:tc>
          <w:tcPr>
            <w:tcW w:w="832" w:type="dxa"/>
          </w:tcPr>
          <w:p>
            <w:pPr>
              <w:jc w:val="left"/>
              <w:rPr>
                <w:rFonts w:ascii="宋体" w:hAnsi="宋体" w:cs="仿宋_GB2312"/>
                <w:color w:val="000000"/>
                <w:kern w:val="0"/>
                <w:sz w:val="24"/>
              </w:rPr>
            </w:pPr>
          </w:p>
        </w:tc>
        <w:tc>
          <w:tcPr>
            <w:tcW w:w="852" w:type="dxa"/>
          </w:tcPr>
          <w:p>
            <w:pPr>
              <w:jc w:val="left"/>
              <w:rPr>
                <w:rFonts w:ascii="宋体" w:hAnsi="宋体" w:cs="仿宋_GB2312"/>
                <w:color w:val="000000"/>
                <w:kern w:val="0"/>
                <w:sz w:val="24"/>
              </w:rPr>
            </w:pPr>
          </w:p>
        </w:tc>
        <w:tc>
          <w:tcPr>
            <w:tcW w:w="1345" w:type="dxa"/>
          </w:tcPr>
          <w:p>
            <w:pPr>
              <w:jc w:val="left"/>
              <w:rPr>
                <w:rFonts w:ascii="宋体" w:hAnsi="宋体" w:cs="仿宋_GB2312"/>
                <w:color w:val="000000"/>
                <w:kern w:val="0"/>
                <w:sz w:val="24"/>
              </w:rPr>
            </w:pPr>
          </w:p>
        </w:tc>
        <w:tc>
          <w:tcPr>
            <w:tcW w:w="599" w:type="dxa"/>
          </w:tcPr>
          <w:p>
            <w:pPr>
              <w:jc w:val="left"/>
              <w:rPr>
                <w:rFonts w:ascii="宋体" w:hAnsi="宋体" w:cs="仿宋_GB2312"/>
                <w:color w:val="000000"/>
                <w:kern w:val="0"/>
                <w:sz w:val="24"/>
              </w:rPr>
            </w:pPr>
          </w:p>
        </w:tc>
        <w:tc>
          <w:tcPr>
            <w:tcW w:w="843" w:type="dxa"/>
          </w:tcPr>
          <w:p>
            <w:pPr>
              <w:jc w:val="left"/>
              <w:rPr>
                <w:rFonts w:ascii="宋体" w:hAnsi="宋体" w:cs="仿宋_GB2312"/>
                <w:color w:val="000000"/>
                <w:kern w:val="0"/>
                <w:sz w:val="24"/>
              </w:rPr>
            </w:pPr>
          </w:p>
        </w:tc>
        <w:tc>
          <w:tcPr>
            <w:tcW w:w="756" w:type="dxa"/>
          </w:tcPr>
          <w:p>
            <w:pPr>
              <w:jc w:val="left"/>
              <w:rPr>
                <w:rFonts w:ascii="宋体" w:hAnsi="宋体" w:cs="仿宋_GB2312"/>
                <w:color w:val="000000"/>
                <w:kern w:val="0"/>
                <w:sz w:val="24"/>
              </w:rPr>
            </w:pPr>
          </w:p>
        </w:tc>
        <w:tc>
          <w:tcPr>
            <w:tcW w:w="1449" w:type="dxa"/>
          </w:tcPr>
          <w:p>
            <w:pPr>
              <w:jc w:val="left"/>
              <w:rPr>
                <w:rFonts w:ascii="宋体" w:hAnsi="宋体" w:cs="仿宋_GB2312"/>
                <w:color w:val="000000"/>
                <w:kern w:val="0"/>
                <w:sz w:val="24"/>
              </w:rPr>
            </w:pPr>
          </w:p>
        </w:tc>
        <w:tc>
          <w:tcPr>
            <w:tcW w:w="929" w:type="dxa"/>
          </w:tcPr>
          <w:p>
            <w:pPr>
              <w:jc w:val="left"/>
              <w:rPr>
                <w:rFonts w:ascii="宋体" w:hAnsi="宋体" w:cs="仿宋_GB2312"/>
                <w:color w:val="000000"/>
                <w:kern w:val="0"/>
                <w:sz w:val="24"/>
              </w:rPr>
            </w:pPr>
          </w:p>
        </w:tc>
        <w:tc>
          <w:tcPr>
            <w:tcW w:w="1165" w:type="dxa"/>
          </w:tcPr>
          <w:p>
            <w:pPr>
              <w:jc w:val="left"/>
              <w:rPr>
                <w:rFonts w:ascii="宋体" w:hAnsi="宋体" w:cs="仿宋_GB2312"/>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991" w:type="dxa"/>
          </w:tcPr>
          <w:p>
            <w:pPr>
              <w:jc w:val="left"/>
              <w:rPr>
                <w:rFonts w:ascii="宋体" w:hAnsi="宋体" w:cs="仿宋_GB2312"/>
                <w:color w:val="000000"/>
                <w:kern w:val="0"/>
                <w:sz w:val="24"/>
              </w:rPr>
            </w:pPr>
          </w:p>
        </w:tc>
        <w:tc>
          <w:tcPr>
            <w:tcW w:w="832" w:type="dxa"/>
          </w:tcPr>
          <w:p>
            <w:pPr>
              <w:jc w:val="left"/>
              <w:rPr>
                <w:rFonts w:ascii="宋体" w:hAnsi="宋体" w:cs="仿宋_GB2312"/>
                <w:color w:val="000000"/>
                <w:kern w:val="0"/>
                <w:sz w:val="24"/>
              </w:rPr>
            </w:pPr>
          </w:p>
        </w:tc>
        <w:tc>
          <w:tcPr>
            <w:tcW w:w="852" w:type="dxa"/>
          </w:tcPr>
          <w:p>
            <w:pPr>
              <w:jc w:val="left"/>
              <w:rPr>
                <w:rFonts w:ascii="宋体" w:hAnsi="宋体" w:cs="仿宋_GB2312"/>
                <w:color w:val="000000"/>
                <w:kern w:val="0"/>
                <w:sz w:val="24"/>
              </w:rPr>
            </w:pPr>
          </w:p>
        </w:tc>
        <w:tc>
          <w:tcPr>
            <w:tcW w:w="1345" w:type="dxa"/>
          </w:tcPr>
          <w:p>
            <w:pPr>
              <w:jc w:val="left"/>
              <w:rPr>
                <w:rFonts w:ascii="宋体" w:hAnsi="宋体" w:cs="仿宋_GB2312"/>
                <w:color w:val="000000"/>
                <w:kern w:val="0"/>
                <w:sz w:val="24"/>
              </w:rPr>
            </w:pPr>
          </w:p>
        </w:tc>
        <w:tc>
          <w:tcPr>
            <w:tcW w:w="599" w:type="dxa"/>
          </w:tcPr>
          <w:p>
            <w:pPr>
              <w:jc w:val="left"/>
              <w:rPr>
                <w:rFonts w:ascii="宋体" w:hAnsi="宋体" w:cs="仿宋_GB2312"/>
                <w:color w:val="000000"/>
                <w:kern w:val="0"/>
                <w:sz w:val="24"/>
              </w:rPr>
            </w:pPr>
          </w:p>
        </w:tc>
        <w:tc>
          <w:tcPr>
            <w:tcW w:w="843" w:type="dxa"/>
          </w:tcPr>
          <w:p>
            <w:pPr>
              <w:jc w:val="left"/>
              <w:rPr>
                <w:rFonts w:ascii="宋体" w:hAnsi="宋体" w:cs="仿宋_GB2312"/>
                <w:color w:val="000000"/>
                <w:kern w:val="0"/>
                <w:sz w:val="24"/>
              </w:rPr>
            </w:pPr>
          </w:p>
        </w:tc>
        <w:tc>
          <w:tcPr>
            <w:tcW w:w="756" w:type="dxa"/>
          </w:tcPr>
          <w:p>
            <w:pPr>
              <w:jc w:val="left"/>
              <w:rPr>
                <w:rFonts w:ascii="宋体" w:hAnsi="宋体" w:cs="仿宋_GB2312"/>
                <w:color w:val="000000"/>
                <w:kern w:val="0"/>
                <w:sz w:val="24"/>
              </w:rPr>
            </w:pPr>
          </w:p>
        </w:tc>
        <w:tc>
          <w:tcPr>
            <w:tcW w:w="1449" w:type="dxa"/>
          </w:tcPr>
          <w:p>
            <w:pPr>
              <w:jc w:val="left"/>
              <w:rPr>
                <w:rFonts w:ascii="宋体" w:hAnsi="宋体" w:cs="仿宋_GB2312"/>
                <w:color w:val="000000"/>
                <w:kern w:val="0"/>
                <w:sz w:val="24"/>
              </w:rPr>
            </w:pPr>
          </w:p>
        </w:tc>
        <w:tc>
          <w:tcPr>
            <w:tcW w:w="929" w:type="dxa"/>
          </w:tcPr>
          <w:p>
            <w:pPr>
              <w:jc w:val="left"/>
              <w:rPr>
                <w:rFonts w:ascii="宋体" w:hAnsi="宋体" w:cs="仿宋_GB2312"/>
                <w:color w:val="000000"/>
                <w:kern w:val="0"/>
                <w:sz w:val="24"/>
              </w:rPr>
            </w:pPr>
          </w:p>
        </w:tc>
        <w:tc>
          <w:tcPr>
            <w:tcW w:w="1165" w:type="dxa"/>
          </w:tcPr>
          <w:p>
            <w:pPr>
              <w:jc w:val="left"/>
              <w:rPr>
                <w:rFonts w:ascii="宋体" w:hAnsi="宋体" w:cs="仿宋_GB2312"/>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991" w:type="dxa"/>
          </w:tcPr>
          <w:p>
            <w:pPr>
              <w:jc w:val="left"/>
              <w:rPr>
                <w:rFonts w:ascii="宋体" w:hAnsi="宋体" w:cs="仿宋_GB2312"/>
                <w:color w:val="000000"/>
                <w:kern w:val="0"/>
                <w:sz w:val="24"/>
              </w:rPr>
            </w:pPr>
            <w:r>
              <w:rPr>
                <w:rFonts w:hint="eastAsia" w:ascii="宋体" w:hAnsi="宋体" w:cs="仿宋_GB2312"/>
                <w:color w:val="000000"/>
                <w:kern w:val="0"/>
                <w:sz w:val="24"/>
              </w:rPr>
              <w:t>……</w:t>
            </w:r>
          </w:p>
        </w:tc>
        <w:tc>
          <w:tcPr>
            <w:tcW w:w="832" w:type="dxa"/>
          </w:tcPr>
          <w:p>
            <w:pPr>
              <w:jc w:val="left"/>
              <w:rPr>
                <w:rFonts w:ascii="宋体" w:hAnsi="宋体" w:cs="仿宋_GB2312"/>
                <w:color w:val="000000"/>
                <w:kern w:val="0"/>
                <w:sz w:val="24"/>
              </w:rPr>
            </w:pPr>
          </w:p>
        </w:tc>
        <w:tc>
          <w:tcPr>
            <w:tcW w:w="852" w:type="dxa"/>
          </w:tcPr>
          <w:p>
            <w:pPr>
              <w:jc w:val="left"/>
              <w:rPr>
                <w:rFonts w:ascii="宋体" w:hAnsi="宋体" w:cs="仿宋_GB2312"/>
                <w:color w:val="000000"/>
                <w:kern w:val="0"/>
                <w:sz w:val="24"/>
              </w:rPr>
            </w:pPr>
          </w:p>
        </w:tc>
        <w:tc>
          <w:tcPr>
            <w:tcW w:w="1345" w:type="dxa"/>
          </w:tcPr>
          <w:p>
            <w:pPr>
              <w:jc w:val="left"/>
              <w:rPr>
                <w:rFonts w:ascii="宋体" w:hAnsi="宋体" w:cs="仿宋_GB2312"/>
                <w:color w:val="000000"/>
                <w:kern w:val="0"/>
                <w:sz w:val="24"/>
              </w:rPr>
            </w:pPr>
          </w:p>
        </w:tc>
        <w:tc>
          <w:tcPr>
            <w:tcW w:w="599" w:type="dxa"/>
          </w:tcPr>
          <w:p>
            <w:pPr>
              <w:jc w:val="left"/>
              <w:rPr>
                <w:rFonts w:ascii="宋体" w:hAnsi="宋体" w:cs="仿宋_GB2312"/>
                <w:color w:val="000000"/>
                <w:kern w:val="0"/>
                <w:sz w:val="24"/>
              </w:rPr>
            </w:pPr>
          </w:p>
        </w:tc>
        <w:tc>
          <w:tcPr>
            <w:tcW w:w="843" w:type="dxa"/>
          </w:tcPr>
          <w:p>
            <w:pPr>
              <w:jc w:val="left"/>
              <w:rPr>
                <w:rFonts w:ascii="宋体" w:hAnsi="宋体" w:cs="仿宋_GB2312"/>
                <w:color w:val="000000"/>
                <w:kern w:val="0"/>
                <w:sz w:val="24"/>
              </w:rPr>
            </w:pPr>
          </w:p>
        </w:tc>
        <w:tc>
          <w:tcPr>
            <w:tcW w:w="756" w:type="dxa"/>
          </w:tcPr>
          <w:p>
            <w:pPr>
              <w:jc w:val="left"/>
              <w:rPr>
                <w:rFonts w:ascii="宋体" w:hAnsi="宋体" w:cs="仿宋_GB2312"/>
                <w:color w:val="000000"/>
                <w:kern w:val="0"/>
                <w:sz w:val="24"/>
              </w:rPr>
            </w:pPr>
          </w:p>
        </w:tc>
        <w:tc>
          <w:tcPr>
            <w:tcW w:w="1449" w:type="dxa"/>
          </w:tcPr>
          <w:p>
            <w:pPr>
              <w:jc w:val="left"/>
              <w:rPr>
                <w:rFonts w:ascii="宋体" w:hAnsi="宋体" w:cs="仿宋_GB2312"/>
                <w:color w:val="000000"/>
                <w:kern w:val="0"/>
                <w:sz w:val="24"/>
              </w:rPr>
            </w:pPr>
          </w:p>
        </w:tc>
        <w:tc>
          <w:tcPr>
            <w:tcW w:w="929" w:type="dxa"/>
          </w:tcPr>
          <w:p>
            <w:pPr>
              <w:jc w:val="left"/>
              <w:rPr>
                <w:rFonts w:ascii="宋体" w:hAnsi="宋体" w:cs="仿宋_GB2312"/>
                <w:color w:val="000000"/>
                <w:kern w:val="0"/>
                <w:sz w:val="24"/>
              </w:rPr>
            </w:pPr>
          </w:p>
        </w:tc>
        <w:tc>
          <w:tcPr>
            <w:tcW w:w="1165" w:type="dxa"/>
          </w:tcPr>
          <w:p>
            <w:pPr>
              <w:jc w:val="left"/>
              <w:rPr>
                <w:rFonts w:ascii="宋体" w:hAnsi="宋体" w:cs="仿宋_GB2312"/>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1" w:hRule="atLeast"/>
          <w:jc w:val="center"/>
        </w:trPr>
        <w:tc>
          <w:tcPr>
            <w:tcW w:w="9761" w:type="dxa"/>
            <w:gridSpan w:val="10"/>
            <w:vAlign w:val="center"/>
          </w:tcPr>
          <w:p>
            <w:pPr>
              <w:ind w:firstLine="480" w:firstLineChars="200"/>
              <w:jc w:val="left"/>
              <w:rPr>
                <w:rFonts w:ascii="宋体" w:hAnsi="宋体" w:cs="仿宋_GB2312"/>
                <w:color w:val="000000"/>
                <w:kern w:val="0"/>
                <w:sz w:val="24"/>
              </w:rPr>
            </w:pPr>
            <w:r>
              <w:rPr>
                <w:rFonts w:hint="eastAsia" w:ascii="宋体" w:hAnsi="宋体" w:cs="仿宋_GB2312"/>
                <w:color w:val="000000"/>
                <w:kern w:val="0"/>
                <w:sz w:val="24"/>
              </w:rPr>
              <w:t>一旦我单位中标，将实行项目负责人负责制，并配备上述项目管理机构。我方保证上述填报内容真实，若不真实，愿按有关规定接受处理。项目管理班子机构设置、职责分工等情况另附资料说明。</w:t>
            </w:r>
          </w:p>
        </w:tc>
      </w:tr>
    </w:tbl>
    <w:p>
      <w:pPr>
        <w:spacing w:line="360" w:lineRule="auto"/>
        <w:jc w:val="center"/>
        <w:rPr>
          <w:rFonts w:ascii="宋体" w:hAnsi="宋体" w:cs="仿宋_GB2312"/>
          <w:b/>
          <w:bCs/>
          <w:color w:val="000000"/>
          <w:kern w:val="0"/>
          <w:sz w:val="24"/>
          <w:szCs w:val="22"/>
        </w:rPr>
      </w:pPr>
      <w:r>
        <w:rPr>
          <w:rFonts w:hint="eastAsia" w:ascii="宋体" w:hAnsi="宋体" w:cs="仿宋_GB2312"/>
          <w:b/>
          <w:color w:val="000000"/>
          <w:kern w:val="0"/>
          <w:sz w:val="24"/>
          <w:szCs w:val="22"/>
        </w:rPr>
        <w:br w:type="page"/>
      </w:r>
      <w:r>
        <w:rPr>
          <w:rFonts w:hint="eastAsia" w:ascii="宋体" w:hAnsi="宋体" w:cs="仿宋_GB2312"/>
          <w:b/>
          <w:bCs/>
          <w:color w:val="000000"/>
          <w:kern w:val="0"/>
          <w:sz w:val="24"/>
          <w:szCs w:val="22"/>
        </w:rPr>
        <w:t>4、项目班子成员简历表</w:t>
      </w:r>
    </w:p>
    <w:tbl>
      <w:tblPr>
        <w:tblStyle w:val="4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92"/>
        <w:gridCol w:w="1310"/>
        <w:gridCol w:w="483"/>
        <w:gridCol w:w="1544"/>
        <w:gridCol w:w="1570"/>
        <w:gridCol w:w="502"/>
        <w:gridCol w:w="651"/>
        <w:gridCol w:w="17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492" w:type="dxa"/>
            <w:vAlign w:val="center"/>
          </w:tcPr>
          <w:p>
            <w:pPr>
              <w:jc w:val="center"/>
              <w:rPr>
                <w:rFonts w:ascii="宋体" w:hAnsi="宋体" w:cs="仿宋_GB2312"/>
                <w:color w:val="000000"/>
                <w:kern w:val="0"/>
                <w:sz w:val="24"/>
                <w:szCs w:val="22"/>
              </w:rPr>
            </w:pPr>
            <w:r>
              <w:rPr>
                <w:rFonts w:hint="eastAsia" w:ascii="宋体" w:hAnsi="宋体" w:cs="仿宋_GB2312"/>
                <w:color w:val="000000"/>
                <w:kern w:val="0"/>
                <w:sz w:val="24"/>
                <w:szCs w:val="22"/>
              </w:rPr>
              <w:t>姓名</w:t>
            </w:r>
          </w:p>
        </w:tc>
        <w:tc>
          <w:tcPr>
            <w:tcW w:w="1793" w:type="dxa"/>
            <w:gridSpan w:val="2"/>
            <w:vAlign w:val="center"/>
          </w:tcPr>
          <w:p>
            <w:pPr>
              <w:jc w:val="center"/>
              <w:rPr>
                <w:rFonts w:ascii="宋体" w:hAnsi="宋体" w:cs="仿宋_GB2312"/>
                <w:color w:val="000000"/>
                <w:kern w:val="0"/>
                <w:sz w:val="24"/>
                <w:szCs w:val="22"/>
              </w:rPr>
            </w:pPr>
          </w:p>
        </w:tc>
        <w:tc>
          <w:tcPr>
            <w:tcW w:w="1544" w:type="dxa"/>
            <w:vAlign w:val="center"/>
          </w:tcPr>
          <w:p>
            <w:pPr>
              <w:jc w:val="center"/>
              <w:rPr>
                <w:rFonts w:ascii="宋体" w:hAnsi="宋体" w:cs="仿宋_GB2312"/>
                <w:color w:val="000000"/>
                <w:kern w:val="0"/>
                <w:sz w:val="24"/>
                <w:szCs w:val="22"/>
              </w:rPr>
            </w:pPr>
            <w:r>
              <w:rPr>
                <w:rFonts w:hint="eastAsia" w:ascii="宋体" w:hAnsi="宋体" w:cs="仿宋_GB2312"/>
                <w:color w:val="000000"/>
                <w:kern w:val="0"/>
                <w:sz w:val="24"/>
                <w:szCs w:val="22"/>
              </w:rPr>
              <w:t>性别</w:t>
            </w:r>
          </w:p>
        </w:tc>
        <w:tc>
          <w:tcPr>
            <w:tcW w:w="1570" w:type="dxa"/>
            <w:vAlign w:val="center"/>
          </w:tcPr>
          <w:p>
            <w:pPr>
              <w:jc w:val="center"/>
              <w:rPr>
                <w:rFonts w:ascii="宋体" w:hAnsi="宋体" w:cs="仿宋_GB2312"/>
                <w:color w:val="000000"/>
                <w:kern w:val="0"/>
                <w:sz w:val="24"/>
                <w:szCs w:val="22"/>
              </w:rPr>
            </w:pPr>
          </w:p>
        </w:tc>
        <w:tc>
          <w:tcPr>
            <w:tcW w:w="1153" w:type="dxa"/>
            <w:gridSpan w:val="2"/>
            <w:vAlign w:val="center"/>
          </w:tcPr>
          <w:p>
            <w:pPr>
              <w:jc w:val="center"/>
              <w:rPr>
                <w:rFonts w:ascii="宋体" w:hAnsi="宋体" w:cs="仿宋_GB2312"/>
                <w:color w:val="000000"/>
                <w:kern w:val="0"/>
                <w:sz w:val="24"/>
                <w:szCs w:val="22"/>
              </w:rPr>
            </w:pPr>
            <w:r>
              <w:rPr>
                <w:rFonts w:hint="eastAsia" w:ascii="宋体" w:hAnsi="宋体" w:cs="仿宋_GB2312"/>
                <w:color w:val="000000"/>
                <w:kern w:val="0"/>
                <w:sz w:val="24"/>
                <w:szCs w:val="22"/>
              </w:rPr>
              <w:t>年龄</w:t>
            </w:r>
          </w:p>
        </w:tc>
        <w:tc>
          <w:tcPr>
            <w:tcW w:w="1792" w:type="dxa"/>
            <w:vAlign w:val="center"/>
          </w:tcPr>
          <w:p>
            <w:pPr>
              <w:jc w:val="center"/>
              <w:rPr>
                <w:rFonts w:ascii="宋体" w:hAnsi="宋体" w:cs="仿宋_GB2312"/>
                <w:color w:val="000000"/>
                <w:kern w:val="0"/>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492" w:type="dxa"/>
            <w:vAlign w:val="center"/>
          </w:tcPr>
          <w:p>
            <w:pPr>
              <w:jc w:val="center"/>
              <w:rPr>
                <w:rFonts w:ascii="宋体" w:hAnsi="宋体" w:cs="仿宋_GB2312"/>
                <w:color w:val="000000"/>
                <w:kern w:val="0"/>
                <w:sz w:val="24"/>
                <w:szCs w:val="22"/>
              </w:rPr>
            </w:pPr>
            <w:r>
              <w:rPr>
                <w:rFonts w:hint="eastAsia" w:ascii="宋体" w:hAnsi="宋体" w:cs="仿宋_GB2312"/>
                <w:color w:val="000000"/>
                <w:kern w:val="0"/>
                <w:sz w:val="24"/>
                <w:szCs w:val="22"/>
              </w:rPr>
              <w:t>本工程职务</w:t>
            </w:r>
          </w:p>
        </w:tc>
        <w:tc>
          <w:tcPr>
            <w:tcW w:w="1793" w:type="dxa"/>
            <w:gridSpan w:val="2"/>
            <w:vAlign w:val="center"/>
          </w:tcPr>
          <w:p>
            <w:pPr>
              <w:jc w:val="center"/>
              <w:rPr>
                <w:rFonts w:ascii="宋体" w:hAnsi="宋体" w:cs="仿宋_GB2312"/>
                <w:color w:val="000000"/>
                <w:kern w:val="0"/>
                <w:sz w:val="24"/>
                <w:szCs w:val="22"/>
              </w:rPr>
            </w:pPr>
          </w:p>
        </w:tc>
        <w:tc>
          <w:tcPr>
            <w:tcW w:w="1544" w:type="dxa"/>
            <w:vAlign w:val="center"/>
          </w:tcPr>
          <w:p>
            <w:pPr>
              <w:jc w:val="center"/>
              <w:rPr>
                <w:rFonts w:ascii="宋体" w:hAnsi="宋体" w:cs="仿宋_GB2312"/>
                <w:color w:val="000000"/>
                <w:kern w:val="0"/>
                <w:sz w:val="24"/>
                <w:szCs w:val="22"/>
              </w:rPr>
            </w:pPr>
            <w:r>
              <w:rPr>
                <w:rFonts w:hint="eastAsia" w:ascii="宋体" w:hAnsi="宋体" w:cs="仿宋_GB2312"/>
                <w:color w:val="000000"/>
                <w:kern w:val="0"/>
                <w:sz w:val="24"/>
                <w:szCs w:val="22"/>
              </w:rPr>
              <w:t>资格</w:t>
            </w:r>
          </w:p>
          <w:p>
            <w:pPr>
              <w:jc w:val="center"/>
              <w:rPr>
                <w:rFonts w:ascii="宋体" w:hAnsi="宋体" w:cs="仿宋_GB2312"/>
                <w:color w:val="000000"/>
                <w:kern w:val="0"/>
                <w:sz w:val="24"/>
                <w:szCs w:val="22"/>
              </w:rPr>
            </w:pPr>
            <w:r>
              <w:rPr>
                <w:rFonts w:hint="eastAsia" w:ascii="宋体" w:hAnsi="宋体" w:cs="仿宋_GB2312"/>
                <w:color w:val="000000"/>
                <w:kern w:val="0"/>
                <w:sz w:val="24"/>
                <w:szCs w:val="22"/>
              </w:rPr>
              <w:t>职称</w:t>
            </w:r>
          </w:p>
        </w:tc>
        <w:tc>
          <w:tcPr>
            <w:tcW w:w="1570" w:type="dxa"/>
            <w:vAlign w:val="center"/>
          </w:tcPr>
          <w:p>
            <w:pPr>
              <w:jc w:val="center"/>
              <w:rPr>
                <w:rFonts w:ascii="宋体" w:hAnsi="宋体" w:cs="仿宋_GB2312"/>
                <w:color w:val="000000"/>
                <w:kern w:val="0"/>
                <w:sz w:val="24"/>
                <w:szCs w:val="22"/>
              </w:rPr>
            </w:pPr>
          </w:p>
        </w:tc>
        <w:tc>
          <w:tcPr>
            <w:tcW w:w="1153" w:type="dxa"/>
            <w:gridSpan w:val="2"/>
            <w:vAlign w:val="center"/>
          </w:tcPr>
          <w:p>
            <w:pPr>
              <w:jc w:val="center"/>
              <w:rPr>
                <w:rFonts w:ascii="宋体" w:hAnsi="宋体" w:cs="仿宋_GB2312"/>
                <w:color w:val="000000"/>
                <w:kern w:val="0"/>
                <w:sz w:val="24"/>
                <w:szCs w:val="22"/>
              </w:rPr>
            </w:pPr>
            <w:r>
              <w:rPr>
                <w:rFonts w:hint="eastAsia" w:ascii="宋体" w:hAnsi="宋体" w:cs="仿宋_GB2312"/>
                <w:color w:val="000000"/>
                <w:kern w:val="0"/>
                <w:sz w:val="24"/>
                <w:szCs w:val="22"/>
              </w:rPr>
              <w:t>学历</w:t>
            </w:r>
          </w:p>
        </w:tc>
        <w:tc>
          <w:tcPr>
            <w:tcW w:w="1792" w:type="dxa"/>
            <w:vAlign w:val="center"/>
          </w:tcPr>
          <w:p>
            <w:pPr>
              <w:jc w:val="center"/>
              <w:rPr>
                <w:rFonts w:ascii="宋体" w:hAnsi="宋体" w:cs="仿宋_GB2312"/>
                <w:color w:val="000000"/>
                <w:kern w:val="0"/>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802" w:type="dxa"/>
            <w:gridSpan w:val="2"/>
            <w:vAlign w:val="center"/>
          </w:tcPr>
          <w:p>
            <w:pPr>
              <w:jc w:val="center"/>
              <w:rPr>
                <w:rFonts w:ascii="宋体" w:hAnsi="宋体" w:cs="仿宋_GB2312"/>
                <w:color w:val="000000"/>
                <w:kern w:val="0"/>
                <w:sz w:val="24"/>
                <w:szCs w:val="22"/>
              </w:rPr>
            </w:pPr>
            <w:r>
              <w:rPr>
                <w:rFonts w:hint="eastAsia" w:ascii="宋体" w:hAnsi="宋体" w:cs="仿宋_GB2312"/>
                <w:color w:val="000000"/>
                <w:kern w:val="0"/>
                <w:sz w:val="24"/>
                <w:szCs w:val="22"/>
              </w:rPr>
              <w:t>参加工作时间</w:t>
            </w:r>
          </w:p>
        </w:tc>
        <w:tc>
          <w:tcPr>
            <w:tcW w:w="2027" w:type="dxa"/>
            <w:gridSpan w:val="2"/>
            <w:vAlign w:val="center"/>
          </w:tcPr>
          <w:p>
            <w:pPr>
              <w:jc w:val="center"/>
              <w:rPr>
                <w:rFonts w:ascii="宋体" w:hAnsi="宋体" w:cs="仿宋_GB2312"/>
                <w:color w:val="000000"/>
                <w:kern w:val="0"/>
                <w:sz w:val="24"/>
                <w:szCs w:val="22"/>
              </w:rPr>
            </w:pPr>
          </w:p>
        </w:tc>
        <w:tc>
          <w:tcPr>
            <w:tcW w:w="2072" w:type="dxa"/>
            <w:gridSpan w:val="2"/>
            <w:vAlign w:val="center"/>
          </w:tcPr>
          <w:p>
            <w:pPr>
              <w:jc w:val="center"/>
              <w:rPr>
                <w:rFonts w:ascii="宋体" w:hAnsi="宋体" w:cs="仿宋_GB2312"/>
                <w:color w:val="000000"/>
                <w:kern w:val="0"/>
                <w:sz w:val="24"/>
                <w:szCs w:val="22"/>
              </w:rPr>
            </w:pPr>
            <w:r>
              <w:rPr>
                <w:rFonts w:hint="eastAsia" w:ascii="宋体" w:hAnsi="宋体" w:cs="仿宋_GB2312"/>
                <w:color w:val="000000"/>
                <w:kern w:val="0"/>
                <w:sz w:val="24"/>
                <w:szCs w:val="22"/>
              </w:rPr>
              <w:t>担任本工程职务年限</w:t>
            </w:r>
          </w:p>
        </w:tc>
        <w:tc>
          <w:tcPr>
            <w:tcW w:w="2443" w:type="dxa"/>
            <w:gridSpan w:val="2"/>
            <w:vAlign w:val="center"/>
          </w:tcPr>
          <w:p>
            <w:pPr>
              <w:jc w:val="center"/>
              <w:rPr>
                <w:rFonts w:ascii="宋体" w:hAnsi="宋体" w:cs="仿宋_GB2312"/>
                <w:color w:val="000000"/>
                <w:kern w:val="0"/>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802" w:type="dxa"/>
            <w:gridSpan w:val="2"/>
            <w:vAlign w:val="center"/>
          </w:tcPr>
          <w:p>
            <w:pPr>
              <w:jc w:val="center"/>
              <w:rPr>
                <w:rFonts w:ascii="宋体" w:hAnsi="宋体" w:cs="仿宋_GB2312"/>
                <w:color w:val="000000"/>
                <w:kern w:val="0"/>
                <w:sz w:val="24"/>
                <w:szCs w:val="22"/>
              </w:rPr>
            </w:pPr>
            <w:r>
              <w:rPr>
                <w:rFonts w:hint="eastAsia" w:ascii="宋体" w:hAnsi="宋体" w:cs="仿宋_GB2312"/>
                <w:color w:val="000000"/>
                <w:kern w:val="0"/>
                <w:sz w:val="24"/>
                <w:szCs w:val="22"/>
              </w:rPr>
              <w:t>资质证书名称、编号</w:t>
            </w:r>
          </w:p>
        </w:tc>
        <w:tc>
          <w:tcPr>
            <w:tcW w:w="6542" w:type="dxa"/>
            <w:gridSpan w:val="6"/>
            <w:vAlign w:val="center"/>
          </w:tcPr>
          <w:p>
            <w:pPr>
              <w:jc w:val="center"/>
              <w:rPr>
                <w:rFonts w:ascii="宋体" w:hAnsi="宋体" w:cs="仿宋_GB2312"/>
                <w:color w:val="000000"/>
                <w:kern w:val="0"/>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344" w:type="dxa"/>
            <w:gridSpan w:val="8"/>
            <w:vAlign w:val="center"/>
          </w:tcPr>
          <w:p>
            <w:pPr>
              <w:jc w:val="center"/>
              <w:rPr>
                <w:rFonts w:ascii="宋体" w:hAnsi="宋体" w:cs="仿宋_GB2312"/>
                <w:color w:val="000000"/>
                <w:kern w:val="0"/>
                <w:sz w:val="24"/>
                <w:szCs w:val="22"/>
              </w:rPr>
            </w:pPr>
            <w:r>
              <w:rPr>
                <w:rFonts w:hint="eastAsia" w:ascii="宋体" w:hAnsi="宋体" w:cs="仿宋_GB2312"/>
                <w:color w:val="000000"/>
                <w:kern w:val="0"/>
                <w:sz w:val="24"/>
                <w:szCs w:val="22"/>
              </w:rPr>
              <w:t>在建和已完工程项目情况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492" w:type="dxa"/>
            <w:vAlign w:val="center"/>
          </w:tcPr>
          <w:p>
            <w:pPr>
              <w:jc w:val="center"/>
              <w:rPr>
                <w:rFonts w:ascii="宋体" w:hAnsi="宋体" w:cs="仿宋_GB2312"/>
                <w:color w:val="000000"/>
                <w:kern w:val="0"/>
                <w:sz w:val="24"/>
                <w:szCs w:val="22"/>
              </w:rPr>
            </w:pPr>
            <w:r>
              <w:rPr>
                <w:rFonts w:hint="eastAsia" w:ascii="宋体" w:hAnsi="宋体" w:cs="仿宋_GB2312"/>
                <w:color w:val="000000"/>
                <w:kern w:val="0"/>
                <w:sz w:val="24"/>
                <w:szCs w:val="22"/>
              </w:rPr>
              <w:t>建设单位</w:t>
            </w:r>
          </w:p>
        </w:tc>
        <w:tc>
          <w:tcPr>
            <w:tcW w:w="1793" w:type="dxa"/>
            <w:gridSpan w:val="2"/>
            <w:vAlign w:val="center"/>
          </w:tcPr>
          <w:p>
            <w:pPr>
              <w:jc w:val="center"/>
              <w:rPr>
                <w:rFonts w:ascii="宋体" w:hAnsi="宋体" w:cs="仿宋_GB2312"/>
                <w:color w:val="000000"/>
                <w:kern w:val="0"/>
                <w:sz w:val="24"/>
                <w:szCs w:val="22"/>
              </w:rPr>
            </w:pPr>
            <w:r>
              <w:rPr>
                <w:rFonts w:hint="eastAsia" w:ascii="宋体" w:hAnsi="宋体" w:cs="仿宋_GB2312"/>
                <w:color w:val="000000"/>
                <w:kern w:val="0"/>
                <w:sz w:val="24"/>
                <w:szCs w:val="22"/>
              </w:rPr>
              <w:t>项目名称</w:t>
            </w:r>
          </w:p>
        </w:tc>
        <w:tc>
          <w:tcPr>
            <w:tcW w:w="1544" w:type="dxa"/>
            <w:vAlign w:val="center"/>
          </w:tcPr>
          <w:p>
            <w:pPr>
              <w:jc w:val="center"/>
              <w:rPr>
                <w:rFonts w:ascii="宋体" w:hAnsi="宋体" w:cs="仿宋_GB2312"/>
                <w:color w:val="000000"/>
                <w:kern w:val="0"/>
                <w:sz w:val="24"/>
                <w:szCs w:val="22"/>
              </w:rPr>
            </w:pPr>
            <w:r>
              <w:rPr>
                <w:rFonts w:hint="eastAsia" w:ascii="宋体" w:hAnsi="宋体" w:cs="仿宋_GB2312"/>
                <w:color w:val="000000"/>
                <w:kern w:val="0"/>
                <w:sz w:val="24"/>
                <w:szCs w:val="22"/>
              </w:rPr>
              <w:t>建设规模</w:t>
            </w:r>
          </w:p>
        </w:tc>
        <w:tc>
          <w:tcPr>
            <w:tcW w:w="1570" w:type="dxa"/>
            <w:vAlign w:val="center"/>
          </w:tcPr>
          <w:p>
            <w:pPr>
              <w:jc w:val="center"/>
              <w:rPr>
                <w:rFonts w:ascii="宋体" w:hAnsi="宋体" w:cs="仿宋_GB2312"/>
                <w:color w:val="000000"/>
                <w:kern w:val="0"/>
                <w:sz w:val="24"/>
                <w:szCs w:val="22"/>
              </w:rPr>
            </w:pPr>
            <w:r>
              <w:rPr>
                <w:rFonts w:hint="eastAsia" w:ascii="宋体" w:hAnsi="宋体" w:cs="仿宋_GB2312"/>
                <w:color w:val="000000"/>
                <w:kern w:val="0"/>
                <w:sz w:val="24"/>
                <w:szCs w:val="22"/>
              </w:rPr>
              <w:t>开、竣工日期</w:t>
            </w:r>
          </w:p>
        </w:tc>
        <w:tc>
          <w:tcPr>
            <w:tcW w:w="1153" w:type="dxa"/>
            <w:gridSpan w:val="2"/>
            <w:vAlign w:val="center"/>
          </w:tcPr>
          <w:p>
            <w:pPr>
              <w:jc w:val="center"/>
              <w:rPr>
                <w:rFonts w:ascii="宋体" w:hAnsi="宋体" w:cs="仿宋_GB2312"/>
                <w:color w:val="000000"/>
                <w:kern w:val="0"/>
                <w:sz w:val="24"/>
                <w:szCs w:val="22"/>
              </w:rPr>
            </w:pPr>
            <w:r>
              <w:rPr>
                <w:rFonts w:hint="eastAsia" w:ascii="宋体" w:hAnsi="宋体" w:cs="仿宋_GB2312"/>
                <w:color w:val="000000"/>
                <w:kern w:val="0"/>
                <w:sz w:val="24"/>
                <w:szCs w:val="22"/>
              </w:rPr>
              <w:t>在建或</w:t>
            </w:r>
          </w:p>
          <w:p>
            <w:pPr>
              <w:jc w:val="center"/>
              <w:rPr>
                <w:rFonts w:ascii="宋体" w:hAnsi="宋体" w:cs="仿宋_GB2312"/>
                <w:color w:val="000000"/>
                <w:kern w:val="0"/>
                <w:sz w:val="24"/>
                <w:szCs w:val="22"/>
              </w:rPr>
            </w:pPr>
            <w:r>
              <w:rPr>
                <w:rFonts w:hint="eastAsia" w:ascii="宋体" w:hAnsi="宋体" w:cs="仿宋_GB2312"/>
                <w:color w:val="000000"/>
                <w:kern w:val="0"/>
                <w:sz w:val="24"/>
                <w:szCs w:val="22"/>
              </w:rPr>
              <w:t>已完</w:t>
            </w:r>
          </w:p>
        </w:tc>
        <w:tc>
          <w:tcPr>
            <w:tcW w:w="1792" w:type="dxa"/>
            <w:vAlign w:val="center"/>
          </w:tcPr>
          <w:p>
            <w:pPr>
              <w:jc w:val="center"/>
              <w:rPr>
                <w:rFonts w:ascii="宋体" w:hAnsi="宋体" w:cs="仿宋_GB2312"/>
                <w:color w:val="000000"/>
                <w:kern w:val="0"/>
                <w:sz w:val="24"/>
                <w:szCs w:val="22"/>
              </w:rPr>
            </w:pPr>
            <w:r>
              <w:rPr>
                <w:rFonts w:hint="eastAsia" w:ascii="宋体" w:hAnsi="宋体" w:cs="仿宋_GB2312"/>
                <w:color w:val="000000"/>
                <w:kern w:val="0"/>
                <w:sz w:val="24"/>
                <w:szCs w:val="22"/>
              </w:rPr>
              <w:t>担任职务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492" w:type="dxa"/>
            <w:vAlign w:val="center"/>
          </w:tcPr>
          <w:p>
            <w:pPr>
              <w:jc w:val="center"/>
              <w:rPr>
                <w:rFonts w:ascii="宋体" w:hAnsi="宋体" w:cs="仿宋_GB2312"/>
                <w:color w:val="000000"/>
                <w:kern w:val="0"/>
                <w:sz w:val="24"/>
                <w:szCs w:val="22"/>
              </w:rPr>
            </w:pPr>
          </w:p>
        </w:tc>
        <w:tc>
          <w:tcPr>
            <w:tcW w:w="1793" w:type="dxa"/>
            <w:gridSpan w:val="2"/>
            <w:vAlign w:val="center"/>
          </w:tcPr>
          <w:p>
            <w:pPr>
              <w:jc w:val="center"/>
              <w:rPr>
                <w:rFonts w:ascii="宋体" w:hAnsi="宋体" w:cs="仿宋_GB2312"/>
                <w:color w:val="000000"/>
                <w:kern w:val="0"/>
                <w:sz w:val="24"/>
                <w:szCs w:val="22"/>
              </w:rPr>
            </w:pPr>
          </w:p>
        </w:tc>
        <w:tc>
          <w:tcPr>
            <w:tcW w:w="1544" w:type="dxa"/>
            <w:vAlign w:val="center"/>
          </w:tcPr>
          <w:p>
            <w:pPr>
              <w:jc w:val="center"/>
              <w:rPr>
                <w:rFonts w:ascii="宋体" w:hAnsi="宋体" w:cs="仿宋_GB2312"/>
                <w:color w:val="000000"/>
                <w:kern w:val="0"/>
                <w:sz w:val="24"/>
                <w:szCs w:val="22"/>
              </w:rPr>
            </w:pPr>
          </w:p>
        </w:tc>
        <w:tc>
          <w:tcPr>
            <w:tcW w:w="1570" w:type="dxa"/>
            <w:vAlign w:val="center"/>
          </w:tcPr>
          <w:p>
            <w:pPr>
              <w:jc w:val="center"/>
              <w:rPr>
                <w:rFonts w:ascii="宋体" w:hAnsi="宋体" w:cs="仿宋_GB2312"/>
                <w:color w:val="000000"/>
                <w:kern w:val="0"/>
                <w:sz w:val="24"/>
                <w:szCs w:val="22"/>
              </w:rPr>
            </w:pPr>
          </w:p>
        </w:tc>
        <w:tc>
          <w:tcPr>
            <w:tcW w:w="1153" w:type="dxa"/>
            <w:gridSpan w:val="2"/>
            <w:vAlign w:val="center"/>
          </w:tcPr>
          <w:p>
            <w:pPr>
              <w:jc w:val="center"/>
              <w:rPr>
                <w:rFonts w:ascii="宋体" w:hAnsi="宋体" w:cs="仿宋_GB2312"/>
                <w:color w:val="000000"/>
                <w:kern w:val="0"/>
                <w:sz w:val="24"/>
                <w:szCs w:val="22"/>
              </w:rPr>
            </w:pPr>
          </w:p>
        </w:tc>
        <w:tc>
          <w:tcPr>
            <w:tcW w:w="1792" w:type="dxa"/>
            <w:vAlign w:val="center"/>
          </w:tcPr>
          <w:p>
            <w:pPr>
              <w:jc w:val="center"/>
              <w:rPr>
                <w:rFonts w:ascii="宋体" w:hAnsi="宋体" w:cs="仿宋_GB2312"/>
                <w:color w:val="000000"/>
                <w:kern w:val="0"/>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492" w:type="dxa"/>
            <w:vAlign w:val="center"/>
          </w:tcPr>
          <w:p>
            <w:pPr>
              <w:jc w:val="center"/>
              <w:rPr>
                <w:rFonts w:ascii="宋体" w:hAnsi="宋体" w:cs="仿宋_GB2312"/>
                <w:color w:val="000000"/>
                <w:kern w:val="0"/>
                <w:sz w:val="24"/>
                <w:szCs w:val="22"/>
              </w:rPr>
            </w:pPr>
          </w:p>
        </w:tc>
        <w:tc>
          <w:tcPr>
            <w:tcW w:w="1793" w:type="dxa"/>
            <w:gridSpan w:val="2"/>
            <w:vAlign w:val="center"/>
          </w:tcPr>
          <w:p>
            <w:pPr>
              <w:jc w:val="center"/>
              <w:rPr>
                <w:rFonts w:ascii="宋体" w:hAnsi="宋体" w:cs="仿宋_GB2312"/>
                <w:color w:val="000000"/>
                <w:kern w:val="0"/>
                <w:sz w:val="24"/>
                <w:szCs w:val="22"/>
              </w:rPr>
            </w:pPr>
          </w:p>
        </w:tc>
        <w:tc>
          <w:tcPr>
            <w:tcW w:w="1544" w:type="dxa"/>
            <w:vAlign w:val="center"/>
          </w:tcPr>
          <w:p>
            <w:pPr>
              <w:jc w:val="center"/>
              <w:rPr>
                <w:rFonts w:ascii="宋体" w:hAnsi="宋体" w:cs="仿宋_GB2312"/>
                <w:color w:val="000000"/>
                <w:kern w:val="0"/>
                <w:sz w:val="24"/>
                <w:szCs w:val="22"/>
              </w:rPr>
            </w:pPr>
          </w:p>
        </w:tc>
        <w:tc>
          <w:tcPr>
            <w:tcW w:w="1570" w:type="dxa"/>
            <w:vAlign w:val="center"/>
          </w:tcPr>
          <w:p>
            <w:pPr>
              <w:jc w:val="center"/>
              <w:rPr>
                <w:rFonts w:ascii="宋体" w:hAnsi="宋体" w:cs="仿宋_GB2312"/>
                <w:color w:val="000000"/>
                <w:kern w:val="0"/>
                <w:sz w:val="24"/>
                <w:szCs w:val="22"/>
              </w:rPr>
            </w:pPr>
          </w:p>
        </w:tc>
        <w:tc>
          <w:tcPr>
            <w:tcW w:w="1153" w:type="dxa"/>
            <w:gridSpan w:val="2"/>
            <w:vAlign w:val="center"/>
          </w:tcPr>
          <w:p>
            <w:pPr>
              <w:jc w:val="center"/>
              <w:rPr>
                <w:rFonts w:ascii="宋体" w:hAnsi="宋体" w:cs="仿宋_GB2312"/>
                <w:color w:val="000000"/>
                <w:kern w:val="0"/>
                <w:sz w:val="24"/>
                <w:szCs w:val="22"/>
              </w:rPr>
            </w:pPr>
          </w:p>
        </w:tc>
        <w:tc>
          <w:tcPr>
            <w:tcW w:w="1792" w:type="dxa"/>
            <w:vAlign w:val="center"/>
          </w:tcPr>
          <w:p>
            <w:pPr>
              <w:jc w:val="center"/>
              <w:rPr>
                <w:rFonts w:ascii="宋体" w:hAnsi="宋体" w:cs="仿宋_GB2312"/>
                <w:color w:val="000000"/>
                <w:kern w:val="0"/>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492" w:type="dxa"/>
            <w:vAlign w:val="center"/>
          </w:tcPr>
          <w:p>
            <w:pPr>
              <w:jc w:val="center"/>
              <w:rPr>
                <w:rFonts w:ascii="宋体" w:hAnsi="宋体" w:cs="仿宋_GB2312"/>
                <w:color w:val="000000"/>
                <w:kern w:val="0"/>
                <w:sz w:val="24"/>
                <w:szCs w:val="22"/>
              </w:rPr>
            </w:pPr>
          </w:p>
        </w:tc>
        <w:tc>
          <w:tcPr>
            <w:tcW w:w="1793" w:type="dxa"/>
            <w:gridSpan w:val="2"/>
            <w:vAlign w:val="center"/>
          </w:tcPr>
          <w:p>
            <w:pPr>
              <w:jc w:val="center"/>
              <w:rPr>
                <w:rFonts w:ascii="宋体" w:hAnsi="宋体" w:cs="仿宋_GB2312"/>
                <w:color w:val="000000"/>
                <w:kern w:val="0"/>
                <w:sz w:val="24"/>
                <w:szCs w:val="22"/>
              </w:rPr>
            </w:pPr>
          </w:p>
        </w:tc>
        <w:tc>
          <w:tcPr>
            <w:tcW w:w="1544" w:type="dxa"/>
            <w:vAlign w:val="center"/>
          </w:tcPr>
          <w:p>
            <w:pPr>
              <w:jc w:val="center"/>
              <w:rPr>
                <w:rFonts w:ascii="宋体" w:hAnsi="宋体" w:cs="仿宋_GB2312"/>
                <w:color w:val="000000"/>
                <w:kern w:val="0"/>
                <w:sz w:val="24"/>
                <w:szCs w:val="22"/>
              </w:rPr>
            </w:pPr>
          </w:p>
        </w:tc>
        <w:tc>
          <w:tcPr>
            <w:tcW w:w="1570" w:type="dxa"/>
            <w:vAlign w:val="center"/>
          </w:tcPr>
          <w:p>
            <w:pPr>
              <w:jc w:val="center"/>
              <w:rPr>
                <w:rFonts w:ascii="宋体" w:hAnsi="宋体" w:cs="仿宋_GB2312"/>
                <w:color w:val="000000"/>
                <w:kern w:val="0"/>
                <w:sz w:val="24"/>
                <w:szCs w:val="22"/>
              </w:rPr>
            </w:pPr>
          </w:p>
        </w:tc>
        <w:tc>
          <w:tcPr>
            <w:tcW w:w="1153" w:type="dxa"/>
            <w:gridSpan w:val="2"/>
            <w:vAlign w:val="center"/>
          </w:tcPr>
          <w:p>
            <w:pPr>
              <w:jc w:val="center"/>
              <w:rPr>
                <w:rFonts w:ascii="宋体" w:hAnsi="宋体" w:cs="仿宋_GB2312"/>
                <w:color w:val="000000"/>
                <w:kern w:val="0"/>
                <w:sz w:val="24"/>
                <w:szCs w:val="22"/>
              </w:rPr>
            </w:pPr>
          </w:p>
        </w:tc>
        <w:tc>
          <w:tcPr>
            <w:tcW w:w="1792" w:type="dxa"/>
            <w:vAlign w:val="center"/>
          </w:tcPr>
          <w:p>
            <w:pPr>
              <w:jc w:val="center"/>
              <w:rPr>
                <w:rFonts w:ascii="宋体" w:hAnsi="宋体" w:cs="仿宋_GB2312"/>
                <w:color w:val="000000"/>
                <w:kern w:val="0"/>
                <w:sz w:val="24"/>
                <w:szCs w:val="22"/>
              </w:rPr>
            </w:pPr>
          </w:p>
        </w:tc>
      </w:tr>
    </w:tbl>
    <w:p>
      <w:pPr>
        <w:ind w:firstLine="240" w:firstLineChars="100"/>
        <w:rPr>
          <w:rFonts w:ascii="宋体" w:hAnsi="宋体" w:cs="仿宋_GB2312"/>
          <w:color w:val="000000"/>
          <w:kern w:val="0"/>
          <w:sz w:val="24"/>
          <w:szCs w:val="22"/>
        </w:rPr>
      </w:pPr>
      <w:r>
        <w:rPr>
          <w:rFonts w:hint="eastAsia" w:ascii="宋体" w:hAnsi="宋体" w:cs="仿宋_GB2312"/>
          <w:color w:val="000000"/>
          <w:kern w:val="0"/>
          <w:sz w:val="24"/>
          <w:szCs w:val="22"/>
        </w:rPr>
        <w:t>注：附各班子成员相关执业注册、资格、岗位及职称证书、社保等资料复印件（如要求）。</w:t>
      </w:r>
    </w:p>
    <w:p>
      <w:pPr>
        <w:spacing w:line="500" w:lineRule="exact"/>
        <w:jc w:val="center"/>
        <w:rPr>
          <w:rFonts w:ascii="宋体" w:hAnsi="宋体" w:cs="仿宋_GB2312"/>
          <w:color w:val="000000"/>
          <w:kern w:val="0"/>
          <w:sz w:val="24"/>
          <w:szCs w:val="22"/>
        </w:rPr>
      </w:pPr>
    </w:p>
    <w:bookmarkEnd w:id="144"/>
    <w:bookmarkEnd w:id="145"/>
    <w:bookmarkEnd w:id="146"/>
    <w:bookmarkEnd w:id="147"/>
    <w:bookmarkEnd w:id="148"/>
    <w:bookmarkEnd w:id="149"/>
    <w:bookmarkEnd w:id="150"/>
    <w:bookmarkEnd w:id="151"/>
    <w:bookmarkEnd w:id="152"/>
    <w:bookmarkEnd w:id="153"/>
    <w:p>
      <w:pPr>
        <w:spacing w:line="500" w:lineRule="exact"/>
        <w:jc w:val="center"/>
        <w:rPr>
          <w:rFonts w:ascii="宋体" w:hAnsi="宋体" w:cs="仿宋_GB2312"/>
          <w:b/>
          <w:bCs/>
          <w:color w:val="000000"/>
          <w:kern w:val="0"/>
          <w:sz w:val="24"/>
          <w:szCs w:val="22"/>
        </w:rPr>
      </w:pPr>
      <w:r>
        <w:rPr>
          <w:rFonts w:hint="eastAsia" w:ascii="宋体" w:hAnsi="宋体" w:cs="仿宋_GB2312"/>
          <w:b/>
          <w:bCs/>
          <w:color w:val="000000"/>
          <w:kern w:val="0"/>
          <w:sz w:val="24"/>
          <w:szCs w:val="22"/>
        </w:rPr>
        <w:t>五、施工组织设计</w:t>
      </w:r>
    </w:p>
    <w:p>
      <w:pPr>
        <w:spacing w:line="360" w:lineRule="auto"/>
        <w:ind w:firstLine="480" w:firstLineChars="200"/>
        <w:jc w:val="left"/>
        <w:rPr>
          <w:rFonts w:ascii="宋体" w:hAnsi="宋体" w:cs="仿宋_GB2312"/>
          <w:color w:val="000000"/>
          <w:kern w:val="0"/>
          <w:sz w:val="24"/>
          <w:szCs w:val="22"/>
        </w:rPr>
      </w:pPr>
      <w:r>
        <w:rPr>
          <w:rFonts w:hint="eastAsia" w:ascii="宋体" w:hAnsi="宋体" w:cs="仿宋_GB2312"/>
          <w:color w:val="000000"/>
          <w:kern w:val="0"/>
          <w:sz w:val="24"/>
          <w:szCs w:val="22"/>
        </w:rPr>
        <w:t>根据本项目特点和要求编写，内容不限于以下内容，亦包括评审办法对施工组织设计的要求内容）。</w:t>
      </w:r>
    </w:p>
    <w:p>
      <w:pPr>
        <w:spacing w:line="360" w:lineRule="auto"/>
        <w:ind w:firstLine="480" w:firstLineChars="200"/>
        <w:jc w:val="left"/>
        <w:rPr>
          <w:rFonts w:ascii="宋体" w:hAnsi="宋体" w:cs="仿宋_GB2312"/>
          <w:color w:val="000000"/>
          <w:kern w:val="0"/>
          <w:sz w:val="24"/>
          <w:szCs w:val="22"/>
        </w:rPr>
      </w:pPr>
      <w:r>
        <w:rPr>
          <w:rFonts w:hint="eastAsia" w:ascii="宋体" w:hAnsi="宋体" w:cs="仿宋_GB2312"/>
          <w:color w:val="000000"/>
          <w:kern w:val="0"/>
          <w:sz w:val="24"/>
          <w:szCs w:val="22"/>
        </w:rPr>
        <w:t>1、供应商应编制施工组织设计，编制的具体要求是：编制时应采用文字并结合图表形式说明各分部分项工程的施工方法；拟投入的主要施工机械设备情况、劳动力计划等；结合招标工程特点提出切实可行的工程质量、安全生产、文明施工、工程进度、技术组织措施，同时应对关键工序、复杂环节重点提出相应技术措施，如雨季施工技术措施、减少扰民噪音、降低环境污染技术措施、基坑支护保护措施、地下管线及其他地上地下设施的保护加固措施等。</w:t>
      </w:r>
    </w:p>
    <w:p>
      <w:pPr>
        <w:spacing w:line="360" w:lineRule="auto"/>
        <w:ind w:firstLine="480" w:firstLineChars="200"/>
        <w:jc w:val="left"/>
        <w:rPr>
          <w:rFonts w:ascii="宋体" w:hAnsi="宋体" w:cs="仿宋_GB2312"/>
          <w:color w:val="000000"/>
          <w:kern w:val="0"/>
          <w:sz w:val="24"/>
          <w:szCs w:val="22"/>
        </w:rPr>
      </w:pPr>
    </w:p>
    <w:p>
      <w:pPr>
        <w:spacing w:line="360" w:lineRule="auto"/>
        <w:ind w:firstLine="480" w:firstLineChars="200"/>
        <w:jc w:val="left"/>
        <w:rPr>
          <w:rFonts w:ascii="宋体" w:hAnsi="宋体" w:cs="仿宋_GB2312"/>
          <w:color w:val="000000"/>
          <w:kern w:val="0"/>
          <w:sz w:val="24"/>
          <w:szCs w:val="22"/>
        </w:rPr>
      </w:pPr>
      <w:r>
        <w:rPr>
          <w:rFonts w:hint="eastAsia" w:ascii="宋体" w:hAnsi="宋体" w:cs="仿宋_GB2312"/>
          <w:color w:val="000000"/>
          <w:kern w:val="0"/>
          <w:sz w:val="24"/>
          <w:szCs w:val="22"/>
        </w:rPr>
        <w:t>2、施工组织设计除采用文字表述外应附下列图表：</w:t>
      </w:r>
    </w:p>
    <w:p>
      <w:pPr>
        <w:spacing w:line="360" w:lineRule="auto"/>
        <w:ind w:firstLine="480" w:firstLineChars="200"/>
        <w:jc w:val="left"/>
        <w:rPr>
          <w:rFonts w:ascii="宋体" w:hAnsi="宋体" w:cs="仿宋_GB2312"/>
          <w:color w:val="000000"/>
          <w:kern w:val="0"/>
          <w:sz w:val="24"/>
          <w:szCs w:val="22"/>
        </w:rPr>
      </w:pPr>
      <w:r>
        <w:rPr>
          <w:rFonts w:hint="eastAsia" w:ascii="宋体" w:hAnsi="宋体" w:cs="仿宋_GB2312"/>
          <w:color w:val="000000"/>
          <w:kern w:val="0"/>
          <w:sz w:val="24"/>
          <w:szCs w:val="22"/>
        </w:rPr>
        <w:t>（1）总平面布置图</w:t>
      </w:r>
    </w:p>
    <w:p>
      <w:pPr>
        <w:spacing w:line="360" w:lineRule="auto"/>
        <w:ind w:firstLine="480" w:firstLineChars="200"/>
        <w:jc w:val="left"/>
        <w:rPr>
          <w:rFonts w:ascii="宋体" w:hAnsi="宋体" w:cs="仿宋_GB2312"/>
          <w:color w:val="000000"/>
          <w:kern w:val="0"/>
          <w:sz w:val="24"/>
          <w:szCs w:val="22"/>
        </w:rPr>
      </w:pPr>
      <w:r>
        <w:rPr>
          <w:rFonts w:hint="eastAsia" w:ascii="宋体" w:hAnsi="宋体" w:cs="仿宋_GB2312"/>
          <w:color w:val="000000"/>
          <w:kern w:val="0"/>
          <w:sz w:val="24"/>
          <w:szCs w:val="22"/>
        </w:rPr>
        <w:t>（2）给排水图</w:t>
      </w:r>
    </w:p>
    <w:p>
      <w:pPr>
        <w:spacing w:line="360" w:lineRule="auto"/>
        <w:ind w:firstLine="480" w:firstLineChars="200"/>
        <w:jc w:val="left"/>
        <w:rPr>
          <w:rFonts w:ascii="宋体" w:hAnsi="宋体" w:cs="仿宋_GB2312"/>
          <w:color w:val="000000"/>
          <w:kern w:val="0"/>
          <w:sz w:val="24"/>
          <w:szCs w:val="22"/>
        </w:rPr>
      </w:pPr>
      <w:r>
        <w:rPr>
          <w:rFonts w:hint="eastAsia" w:ascii="宋体" w:hAnsi="宋体" w:cs="仿宋_GB2312"/>
          <w:color w:val="000000"/>
          <w:kern w:val="0"/>
          <w:sz w:val="24"/>
          <w:szCs w:val="22"/>
        </w:rPr>
        <w:t>（3）劳动力计划表</w:t>
      </w:r>
    </w:p>
    <w:p>
      <w:pPr>
        <w:spacing w:line="360" w:lineRule="auto"/>
        <w:ind w:firstLine="480" w:firstLineChars="200"/>
        <w:jc w:val="left"/>
        <w:rPr>
          <w:rFonts w:ascii="宋体" w:hAnsi="宋体" w:cs="仿宋_GB2312"/>
          <w:color w:val="000000"/>
          <w:kern w:val="0"/>
          <w:sz w:val="24"/>
          <w:szCs w:val="22"/>
        </w:rPr>
      </w:pPr>
      <w:r>
        <w:rPr>
          <w:rFonts w:hint="eastAsia" w:ascii="宋体" w:hAnsi="宋体" w:cs="仿宋_GB2312"/>
          <w:color w:val="000000"/>
          <w:kern w:val="0"/>
          <w:sz w:val="24"/>
          <w:szCs w:val="22"/>
        </w:rPr>
        <w:t>（4）计划开、竣工日期和施工进度网络图或横道图</w:t>
      </w:r>
    </w:p>
    <w:p>
      <w:pPr>
        <w:spacing w:line="360" w:lineRule="auto"/>
        <w:ind w:firstLine="480" w:firstLineChars="200"/>
        <w:jc w:val="left"/>
        <w:rPr>
          <w:rFonts w:ascii="宋体" w:hAnsi="宋体" w:cs="仿宋_GB2312"/>
          <w:color w:val="000000"/>
          <w:kern w:val="0"/>
          <w:sz w:val="24"/>
          <w:szCs w:val="22"/>
        </w:rPr>
      </w:pPr>
      <w:r>
        <w:rPr>
          <w:rFonts w:hint="eastAsia" w:ascii="宋体" w:hAnsi="宋体" w:cs="仿宋_GB2312"/>
          <w:color w:val="000000"/>
          <w:kern w:val="0"/>
          <w:sz w:val="24"/>
          <w:szCs w:val="22"/>
        </w:rPr>
        <w:t>（5）临时用地表</w:t>
      </w:r>
    </w:p>
    <w:p>
      <w:pPr>
        <w:spacing w:line="500" w:lineRule="exact"/>
        <w:jc w:val="center"/>
        <w:rPr>
          <w:rFonts w:ascii="宋体" w:hAnsi="宋体" w:cs="仿宋_GB2312"/>
          <w:color w:val="000000"/>
          <w:kern w:val="0"/>
          <w:sz w:val="24"/>
          <w:u w:val="single"/>
        </w:rPr>
      </w:pPr>
      <w:r>
        <w:rPr>
          <w:rFonts w:hint="eastAsia" w:ascii="宋体" w:hAnsi="宋体" w:cs="仿宋_GB2312"/>
          <w:b/>
          <w:bCs/>
          <w:color w:val="000000"/>
          <w:kern w:val="0"/>
          <w:sz w:val="24"/>
          <w:szCs w:val="22"/>
        </w:rPr>
        <w:br w:type="page"/>
      </w:r>
      <w:r>
        <w:rPr>
          <w:rFonts w:hint="eastAsia" w:ascii="宋体" w:hAnsi="宋体" w:cs="仿宋_GB2312"/>
          <w:b/>
          <w:bCs/>
          <w:color w:val="000000"/>
          <w:kern w:val="0"/>
          <w:sz w:val="24"/>
          <w:szCs w:val="22"/>
        </w:rPr>
        <w:t>六、投标承诺函</w:t>
      </w:r>
    </w:p>
    <w:p>
      <w:pPr>
        <w:spacing w:line="360" w:lineRule="auto"/>
        <w:jc w:val="left"/>
        <w:rPr>
          <w:rFonts w:ascii="宋体" w:hAnsi="宋体" w:cs="仿宋_GB2312"/>
          <w:color w:val="000000"/>
          <w:kern w:val="0"/>
          <w:sz w:val="24"/>
        </w:rPr>
      </w:pPr>
      <w:r>
        <w:rPr>
          <w:rFonts w:hint="eastAsia" w:ascii="宋体" w:hAnsi="宋体" w:cs="仿宋_GB2312"/>
          <w:color w:val="000000"/>
          <w:kern w:val="0"/>
          <w:sz w:val="24"/>
          <w:u w:val="single"/>
        </w:rPr>
        <w:t xml:space="preserve">                        </w:t>
      </w:r>
      <w:r>
        <w:rPr>
          <w:rFonts w:hint="eastAsia" w:ascii="宋体" w:hAnsi="宋体" w:cs="仿宋_GB2312"/>
          <w:color w:val="000000"/>
          <w:kern w:val="0"/>
          <w:sz w:val="24"/>
        </w:rPr>
        <w:t xml:space="preserve">（招标人名称）: </w:t>
      </w:r>
    </w:p>
    <w:p>
      <w:pPr>
        <w:spacing w:line="360" w:lineRule="auto"/>
        <w:ind w:firstLine="600" w:firstLineChars="250"/>
        <w:jc w:val="left"/>
        <w:rPr>
          <w:rFonts w:ascii="宋体" w:hAnsi="宋体" w:cs="仿宋_GB2312"/>
          <w:color w:val="000000"/>
          <w:kern w:val="0"/>
          <w:sz w:val="24"/>
        </w:rPr>
      </w:pPr>
      <w:r>
        <w:rPr>
          <w:rFonts w:hint="eastAsia" w:ascii="宋体" w:hAnsi="宋体" w:cs="仿宋_GB2312"/>
          <w:color w:val="000000"/>
          <w:kern w:val="0"/>
          <w:sz w:val="24"/>
        </w:rPr>
        <w:t>鉴于</w:t>
      </w:r>
      <w:r>
        <w:rPr>
          <w:rFonts w:hint="eastAsia" w:ascii="宋体" w:hAnsi="宋体" w:cs="仿宋_GB2312"/>
          <w:color w:val="000000"/>
          <w:kern w:val="0"/>
          <w:sz w:val="24"/>
          <w:u w:val="single"/>
        </w:rPr>
        <w:t xml:space="preserve">             （供应商名称）</w:t>
      </w:r>
      <w:r>
        <w:rPr>
          <w:rFonts w:hint="eastAsia" w:ascii="宋体" w:hAnsi="宋体" w:cs="仿宋_GB2312"/>
          <w:color w:val="000000"/>
          <w:kern w:val="0"/>
          <w:sz w:val="24"/>
        </w:rPr>
        <w:t>（以下称“供应商”）于</w:t>
      </w:r>
      <w:r>
        <w:rPr>
          <w:rFonts w:hint="eastAsia" w:ascii="宋体" w:hAnsi="宋体" w:cs="仿宋_GB2312"/>
          <w:color w:val="000000"/>
          <w:kern w:val="0"/>
          <w:sz w:val="24"/>
          <w:u w:val="single"/>
        </w:rPr>
        <w:t xml:space="preserve">     </w:t>
      </w:r>
      <w:r>
        <w:rPr>
          <w:rFonts w:hint="eastAsia" w:ascii="宋体" w:hAnsi="宋体" w:cs="仿宋_GB2312"/>
          <w:color w:val="000000"/>
          <w:kern w:val="0"/>
          <w:sz w:val="24"/>
        </w:rPr>
        <w:t xml:space="preserve">年＿月＿日参加 </w:t>
      </w:r>
      <w:r>
        <w:rPr>
          <w:rFonts w:hint="eastAsia" w:ascii="宋体" w:hAnsi="宋体" w:cs="仿宋_GB2312"/>
          <w:color w:val="000000"/>
          <w:kern w:val="0"/>
          <w:sz w:val="24"/>
          <w:u w:val="single"/>
        </w:rPr>
        <w:t xml:space="preserve">                        （项目名称）</w:t>
      </w:r>
      <w:r>
        <w:rPr>
          <w:rFonts w:hint="eastAsia" w:ascii="宋体" w:hAnsi="宋体" w:cs="仿宋_GB2312"/>
          <w:color w:val="000000"/>
          <w:kern w:val="0"/>
          <w:sz w:val="24"/>
        </w:rPr>
        <w:t>施工的投标，我公司郑重承诺：</w:t>
      </w:r>
    </w:p>
    <w:p>
      <w:pPr>
        <w:spacing w:line="360" w:lineRule="auto"/>
        <w:ind w:firstLine="600" w:firstLineChars="250"/>
        <w:jc w:val="left"/>
        <w:rPr>
          <w:rFonts w:ascii="宋体" w:hAnsi="宋体"/>
          <w:color w:val="000000"/>
          <w:kern w:val="0"/>
          <w:sz w:val="24"/>
        </w:rPr>
      </w:pPr>
      <w:r>
        <w:rPr>
          <w:rFonts w:hint="eastAsia" w:ascii="宋体" w:hAnsi="宋体"/>
          <w:color w:val="000000"/>
          <w:kern w:val="0"/>
          <w:sz w:val="24"/>
        </w:rPr>
        <w:t>1、我单位已经充分理解本招标活动文件的一切内容，对本次招标活动文件内容无任何异议，完全接受比选文件的全部内容，自愿参加本项目投标活动，保证无出借资质、不挂靠、不转包、非法分包等违规现象，保证无围标、串标以及弄虚作假等违规行为，否则一经查实，我公司自愿放弃投标（或中标）资格，并接受招标人及主管部门按规定做出其他相应处罚；</w:t>
      </w:r>
    </w:p>
    <w:p>
      <w:pPr>
        <w:spacing w:line="360" w:lineRule="auto"/>
        <w:ind w:firstLine="600" w:firstLineChars="250"/>
        <w:jc w:val="left"/>
        <w:rPr>
          <w:rFonts w:ascii="宋体" w:hAnsi="宋体"/>
          <w:color w:val="000000"/>
          <w:kern w:val="0"/>
          <w:sz w:val="24"/>
        </w:rPr>
      </w:pPr>
      <w:r>
        <w:rPr>
          <w:rFonts w:hint="eastAsia" w:ascii="宋体" w:hAnsi="宋体"/>
          <w:color w:val="000000"/>
          <w:kern w:val="0"/>
          <w:sz w:val="24"/>
        </w:rPr>
        <w:t>2、在规定的响应文件有效期内撤销或修改其响应文件的，或者我公司在收到成交通知书后拒绝按比选文件规定的数额、形式和时间提交履约担保，或拒绝按招标人约定的时间和比选文件约定的合同条款签订合同的，我公司将无条件放弃中标资格，并接受招标人及主管部门按规定全额扣留我公司响应保证金和做出其他相应处罚；</w:t>
      </w:r>
    </w:p>
    <w:p>
      <w:pPr>
        <w:spacing w:line="360" w:lineRule="auto"/>
        <w:ind w:firstLine="600" w:firstLineChars="250"/>
        <w:jc w:val="left"/>
        <w:rPr>
          <w:rFonts w:ascii="宋体" w:hAnsi="宋体"/>
          <w:color w:val="000000"/>
          <w:kern w:val="0"/>
          <w:sz w:val="24"/>
        </w:rPr>
      </w:pPr>
      <w:r>
        <w:rPr>
          <w:rFonts w:hint="eastAsia" w:ascii="宋体" w:hAnsi="宋体"/>
          <w:color w:val="000000"/>
          <w:kern w:val="0"/>
          <w:sz w:val="24"/>
        </w:rPr>
        <w:t>3、在整个招标投标过程中，我公司熟知和了解比选文件、合同通用及专用条款及附件，我公司承诺完全按比选文件及合同通用、专用条款及附件履行职责及义务。若我公司有比选文件及合同通用及专用条款所述的违约行为，我公司将无条件接受招标人根据合同及比选文件规定所做出的处罚；</w:t>
      </w:r>
    </w:p>
    <w:p>
      <w:pPr>
        <w:spacing w:line="360" w:lineRule="auto"/>
        <w:ind w:firstLine="600" w:firstLineChars="250"/>
        <w:jc w:val="left"/>
        <w:rPr>
          <w:rFonts w:ascii="宋体" w:hAnsi="宋体"/>
          <w:color w:val="000000"/>
          <w:kern w:val="0"/>
          <w:sz w:val="24"/>
        </w:rPr>
      </w:pPr>
      <w:r>
        <w:rPr>
          <w:rFonts w:hint="eastAsia" w:ascii="宋体" w:hAnsi="宋体"/>
          <w:color w:val="000000"/>
          <w:kern w:val="0"/>
          <w:sz w:val="24"/>
        </w:rPr>
        <w:t>4、我方承诺：投标的项目负责人及相应资质的专业技术、管理人员是将来施工现场的实际操作者，中标后不再兼任其他项目的操作管理职务，并常驻本工程施工现场。项目负责人只担任本项目的施工负责人，不再担任其他项目的项目负责人（或管理者），每月驻现场工作时间不少于22天（每天在岗工作时间不少于8个小时），如未经招标人同意而更换人员或驻工地工作时间不足22天，愿意接受比选文件和合同约定的违约处理；招标人如认为有必要，可要求对上述人员中的部分人员作出更好的调整，我公司无条件的全部接受。直至招标人满意。人员调整不涉及任何费用的补偿和索赔。</w:t>
      </w:r>
    </w:p>
    <w:p>
      <w:pPr>
        <w:spacing w:line="360" w:lineRule="auto"/>
        <w:ind w:firstLine="600" w:firstLineChars="250"/>
        <w:jc w:val="left"/>
        <w:rPr>
          <w:rFonts w:ascii="宋体" w:hAnsi="宋体"/>
          <w:color w:val="000000"/>
          <w:kern w:val="0"/>
          <w:sz w:val="24"/>
        </w:rPr>
      </w:pPr>
      <w:r>
        <w:rPr>
          <w:rFonts w:hint="eastAsia" w:ascii="宋体" w:hAnsi="宋体"/>
          <w:color w:val="000000"/>
          <w:kern w:val="0"/>
          <w:sz w:val="24"/>
        </w:rPr>
        <w:t>5、我方在施工过程中确保安全生产，施工期间由施工引发的一切安全责任事故均由我方负责；</w:t>
      </w:r>
    </w:p>
    <w:p>
      <w:pPr>
        <w:spacing w:line="360" w:lineRule="auto"/>
        <w:ind w:firstLine="600" w:firstLineChars="250"/>
        <w:jc w:val="left"/>
        <w:rPr>
          <w:rFonts w:ascii="宋体" w:hAnsi="宋体"/>
          <w:color w:val="000000"/>
          <w:kern w:val="0"/>
          <w:sz w:val="24"/>
        </w:rPr>
      </w:pPr>
      <w:r>
        <w:rPr>
          <w:rFonts w:hint="eastAsia" w:ascii="宋体" w:hAnsi="宋体"/>
          <w:color w:val="000000"/>
          <w:kern w:val="0"/>
          <w:sz w:val="24"/>
        </w:rPr>
        <w:t>6、我方承诺：我方确保本工程安全文明施工达到安全文明工地标准，注意周边市政设施保护及沿途道路保洁工作，如出现损坏市政设施及路面污染现象，由我公司负责及时清扫。按时支付农民工工资金并保证廉洁自律；</w:t>
      </w:r>
    </w:p>
    <w:p>
      <w:pPr>
        <w:spacing w:line="360" w:lineRule="auto"/>
        <w:ind w:firstLine="600" w:firstLineChars="250"/>
        <w:jc w:val="left"/>
        <w:rPr>
          <w:rFonts w:ascii="宋体" w:hAnsi="宋体"/>
          <w:color w:val="000000"/>
          <w:kern w:val="0"/>
          <w:sz w:val="24"/>
          <w:szCs w:val="22"/>
        </w:rPr>
      </w:pPr>
      <w:r>
        <w:rPr>
          <w:rFonts w:hint="eastAsia" w:ascii="宋体" w:hAnsi="宋体"/>
          <w:color w:val="000000"/>
          <w:kern w:val="0"/>
          <w:sz w:val="24"/>
        </w:rPr>
        <w:t>7、</w:t>
      </w:r>
      <w:r>
        <w:rPr>
          <w:rFonts w:hint="eastAsia" w:ascii="宋体" w:hAnsi="宋体"/>
          <w:color w:val="000000"/>
          <w:kern w:val="0"/>
          <w:sz w:val="24"/>
          <w:szCs w:val="22"/>
        </w:rPr>
        <w:t>不提供有违真实的材料，不进行缺乏事实根据或者法律依据的质疑或投诉；</w:t>
      </w:r>
    </w:p>
    <w:p>
      <w:pPr>
        <w:spacing w:line="360" w:lineRule="auto"/>
        <w:ind w:firstLine="602" w:firstLineChars="250"/>
        <w:jc w:val="left"/>
        <w:rPr>
          <w:rFonts w:ascii="宋体" w:hAnsi="宋体" w:cs="仿宋_GB2312"/>
          <w:b/>
          <w:color w:val="000000"/>
          <w:kern w:val="0"/>
          <w:sz w:val="24"/>
        </w:rPr>
      </w:pPr>
      <w:r>
        <w:rPr>
          <w:rFonts w:hint="eastAsia" w:ascii="宋体" w:hAnsi="宋体"/>
          <w:b/>
          <w:color w:val="000000"/>
          <w:kern w:val="0"/>
          <w:sz w:val="24"/>
          <w:szCs w:val="22"/>
        </w:rPr>
        <w:t>8、</w:t>
      </w:r>
      <w:r>
        <w:rPr>
          <w:rFonts w:hint="eastAsia" w:ascii="宋体" w:hAnsi="宋体" w:cs="仿宋_GB2312"/>
          <w:b/>
          <w:color w:val="000000"/>
          <w:kern w:val="0"/>
          <w:sz w:val="24"/>
        </w:rPr>
        <w:t>本公告发布之日前三年，我单位及法定代表人、拟任项目负责人无行贿犯罪记录；</w:t>
      </w:r>
    </w:p>
    <w:p>
      <w:pPr>
        <w:spacing w:line="360" w:lineRule="auto"/>
        <w:ind w:firstLine="600" w:firstLineChars="250"/>
        <w:jc w:val="left"/>
        <w:rPr>
          <w:rFonts w:ascii="宋体" w:hAnsi="宋体" w:cs="仿宋_GB2312"/>
          <w:b/>
          <w:color w:val="000000"/>
          <w:kern w:val="0"/>
          <w:sz w:val="24"/>
        </w:rPr>
      </w:pPr>
      <w:r>
        <w:rPr>
          <w:rFonts w:hint="eastAsia" w:ascii="宋体" w:hAnsi="宋体" w:cs="仿宋_GB2312"/>
          <w:color w:val="000000"/>
          <w:kern w:val="0"/>
          <w:sz w:val="24"/>
        </w:rPr>
        <w:t>9、</w:t>
      </w:r>
      <w:r>
        <w:rPr>
          <w:rFonts w:hint="eastAsia" w:ascii="宋体" w:hAnsi="宋体" w:cs="仿宋_GB2312"/>
          <w:b/>
          <w:color w:val="000000"/>
          <w:kern w:val="0"/>
          <w:sz w:val="24"/>
        </w:rPr>
        <w:t>我单位承诺确保本工程一次性通过相关部门验收，否则给招标人造成的一切损失由我方承担。</w:t>
      </w:r>
    </w:p>
    <w:p>
      <w:pPr>
        <w:spacing w:line="360" w:lineRule="auto"/>
        <w:ind w:firstLine="602" w:firstLineChars="250"/>
        <w:jc w:val="left"/>
        <w:rPr>
          <w:rFonts w:ascii="宋体" w:hAnsi="宋体"/>
          <w:color w:val="000000"/>
          <w:kern w:val="0"/>
          <w:sz w:val="24"/>
          <w:szCs w:val="22"/>
        </w:rPr>
      </w:pPr>
      <w:r>
        <w:rPr>
          <w:rFonts w:hint="eastAsia" w:ascii="宋体" w:hAnsi="宋体" w:cs="仿宋_GB2312"/>
          <w:b/>
          <w:color w:val="000000"/>
          <w:kern w:val="0"/>
          <w:sz w:val="24"/>
        </w:rPr>
        <w:t>10、</w:t>
      </w:r>
      <w:r>
        <w:rPr>
          <w:rFonts w:hint="eastAsia" w:ascii="宋体" w:hAnsi="宋体"/>
          <w:b/>
          <w:color w:val="000000"/>
          <w:sz w:val="24"/>
        </w:rPr>
        <w:t>根据六安市住建委、安监局、公管局六建法【2018】80号文件精神，</w:t>
      </w:r>
      <w:r>
        <w:rPr>
          <w:rFonts w:hint="eastAsia" w:ascii="宋体" w:hAnsi="宋体" w:cs="仿宋_GB2312"/>
          <w:b/>
          <w:color w:val="000000"/>
          <w:kern w:val="0"/>
          <w:sz w:val="24"/>
        </w:rPr>
        <w:t>经核实，我单位没有</w:t>
      </w:r>
      <w:r>
        <w:rPr>
          <w:rFonts w:hint="eastAsia" w:ascii="宋体" w:hAnsi="宋体"/>
          <w:b/>
          <w:color w:val="000000"/>
          <w:sz w:val="24"/>
        </w:rPr>
        <w:t>记入不良行为记录的单位和人员且在公布期限内。</w:t>
      </w:r>
    </w:p>
    <w:p>
      <w:pPr>
        <w:spacing w:line="360" w:lineRule="auto"/>
        <w:ind w:firstLine="602" w:firstLineChars="250"/>
        <w:jc w:val="left"/>
        <w:rPr>
          <w:rFonts w:ascii="宋体" w:hAnsi="宋体"/>
          <w:b/>
          <w:color w:val="000000"/>
          <w:kern w:val="0"/>
          <w:sz w:val="24"/>
        </w:rPr>
      </w:pPr>
      <w:r>
        <w:rPr>
          <w:rFonts w:hint="eastAsia" w:ascii="宋体" w:hAnsi="宋体"/>
          <w:b/>
          <w:color w:val="000000"/>
          <w:kern w:val="0"/>
          <w:sz w:val="24"/>
        </w:rPr>
        <w:t>11、如我方违背了上述承诺，本项目招标人有权取消我方的中标资格，并由招标人将我方的违约行为上报县公共资源交易监督管理局及相关主管部门记不良记录，并纳入建设市场信用信息管理系统。</w:t>
      </w:r>
    </w:p>
    <w:p>
      <w:pPr>
        <w:spacing w:line="360" w:lineRule="auto"/>
        <w:ind w:firstLine="420"/>
        <w:jc w:val="left"/>
        <w:rPr>
          <w:rFonts w:ascii="宋体" w:hAnsi="宋体" w:cs="仿宋_GB2312"/>
          <w:color w:val="000000"/>
          <w:kern w:val="0"/>
          <w:sz w:val="24"/>
        </w:rPr>
      </w:pPr>
      <w:r>
        <w:rPr>
          <w:rFonts w:hint="eastAsia" w:ascii="宋体" w:hAnsi="宋体" w:cs="仿宋_GB2312"/>
          <w:color w:val="000000"/>
          <w:kern w:val="0"/>
          <w:sz w:val="24"/>
        </w:rPr>
        <w:t xml:space="preserve"> 特此承诺。</w:t>
      </w:r>
    </w:p>
    <w:p>
      <w:pPr>
        <w:spacing w:line="360" w:lineRule="auto"/>
        <w:jc w:val="right"/>
        <w:rPr>
          <w:rFonts w:ascii="宋体" w:hAnsi="宋体" w:cs="仿宋_GB2312"/>
          <w:color w:val="000000"/>
          <w:kern w:val="0"/>
          <w:sz w:val="24"/>
        </w:rPr>
      </w:pPr>
      <w:r>
        <w:rPr>
          <w:rFonts w:hint="eastAsia" w:ascii="宋体" w:hAnsi="宋体" w:cs="仿宋_GB2312"/>
          <w:color w:val="000000"/>
          <w:kern w:val="0"/>
          <w:sz w:val="24"/>
        </w:rPr>
        <w:t>供应商名称：</w:t>
      </w:r>
      <w:r>
        <w:rPr>
          <w:rFonts w:hint="eastAsia" w:ascii="宋体" w:hAnsi="宋体" w:cs="仿宋_GB2312"/>
          <w:color w:val="000000"/>
          <w:kern w:val="0"/>
          <w:sz w:val="24"/>
          <w:u w:val="single"/>
        </w:rPr>
        <w:t xml:space="preserve">                   </w:t>
      </w:r>
      <w:r>
        <w:rPr>
          <w:rFonts w:hint="eastAsia" w:ascii="宋体" w:hAnsi="宋体" w:cs="仿宋_GB2312"/>
          <w:color w:val="000000"/>
          <w:kern w:val="0"/>
          <w:sz w:val="24"/>
        </w:rPr>
        <w:t>（盖单位章）</w:t>
      </w:r>
    </w:p>
    <w:p>
      <w:pPr>
        <w:spacing w:line="360" w:lineRule="auto"/>
        <w:jc w:val="right"/>
        <w:rPr>
          <w:rFonts w:ascii="宋体" w:hAnsi="宋体" w:cs="仿宋_GB2312"/>
          <w:color w:val="000000"/>
          <w:kern w:val="0"/>
          <w:sz w:val="24"/>
        </w:rPr>
      </w:pPr>
      <w:r>
        <w:rPr>
          <w:rFonts w:hint="eastAsia" w:ascii="宋体" w:hAnsi="宋体" w:cs="仿宋_GB2312"/>
          <w:color w:val="000000"/>
          <w:kern w:val="0"/>
          <w:sz w:val="24"/>
        </w:rPr>
        <w:t>法定代表人或其委托代理人：</w:t>
      </w:r>
      <w:r>
        <w:rPr>
          <w:rFonts w:hint="eastAsia" w:ascii="宋体" w:hAnsi="宋体" w:cs="仿宋_GB2312"/>
          <w:color w:val="000000"/>
          <w:kern w:val="0"/>
          <w:sz w:val="24"/>
          <w:u w:val="single"/>
        </w:rPr>
        <w:t xml:space="preserve">         </w:t>
      </w:r>
      <w:r>
        <w:rPr>
          <w:rFonts w:hint="eastAsia" w:ascii="宋体" w:hAnsi="宋体" w:cs="仿宋_GB2312"/>
          <w:color w:val="000000"/>
          <w:kern w:val="0"/>
          <w:sz w:val="24"/>
        </w:rPr>
        <w:t>（签字或盖章）</w:t>
      </w:r>
    </w:p>
    <w:p>
      <w:pPr>
        <w:wordWrap w:val="0"/>
        <w:spacing w:line="360" w:lineRule="auto"/>
        <w:ind w:firstLine="6600" w:firstLineChars="2750"/>
        <w:jc w:val="left"/>
        <w:rPr>
          <w:rFonts w:ascii="宋体" w:hAnsi="宋体"/>
          <w:color w:val="000000"/>
          <w:kern w:val="0"/>
          <w:sz w:val="24"/>
          <w:u w:val="single"/>
        </w:rPr>
      </w:pPr>
      <w:r>
        <w:rPr>
          <w:rFonts w:hint="eastAsia" w:ascii="宋体" w:hAnsi="宋体"/>
          <w:color w:val="000000"/>
          <w:kern w:val="0"/>
          <w:sz w:val="24"/>
        </w:rPr>
        <w:t>日期：</w:t>
      </w:r>
      <w:r>
        <w:rPr>
          <w:rFonts w:hint="eastAsia" w:ascii="宋体" w:hAnsi="宋体"/>
          <w:color w:val="000000"/>
          <w:kern w:val="0"/>
          <w:sz w:val="24"/>
          <w:u w:val="single"/>
        </w:rPr>
        <w:t xml:space="preserve">         </w:t>
      </w:r>
    </w:p>
    <w:p>
      <w:pPr>
        <w:spacing w:line="320" w:lineRule="exact"/>
        <w:jc w:val="right"/>
        <w:rPr>
          <w:rFonts w:ascii="宋体" w:hAnsi="宋体" w:cs="仿宋_GB2312"/>
          <w:color w:val="000000"/>
          <w:kern w:val="0"/>
          <w:sz w:val="24"/>
        </w:rPr>
      </w:pPr>
      <w:r>
        <w:rPr>
          <w:rFonts w:hint="eastAsia" w:ascii="宋体" w:hAnsi="宋体" w:cs="仿宋_GB2312"/>
          <w:color w:val="000000"/>
          <w:kern w:val="0"/>
          <w:sz w:val="24"/>
        </w:rPr>
        <w:t xml:space="preserve"> </w:t>
      </w:r>
    </w:p>
    <w:p>
      <w:pPr>
        <w:spacing w:line="500" w:lineRule="exact"/>
        <w:jc w:val="right"/>
        <w:rPr>
          <w:rFonts w:ascii="宋体" w:hAnsi="宋体" w:cs="仿宋_GB2312"/>
          <w:b/>
          <w:bCs/>
          <w:color w:val="000000"/>
          <w:kern w:val="0"/>
          <w:sz w:val="24"/>
          <w:szCs w:val="22"/>
        </w:rPr>
      </w:pPr>
    </w:p>
    <w:p>
      <w:pPr>
        <w:spacing w:line="500" w:lineRule="exact"/>
        <w:jc w:val="center"/>
        <w:rPr>
          <w:rFonts w:ascii="宋体" w:hAnsi="宋体" w:cs="仿宋_GB2312"/>
          <w:b/>
          <w:bCs/>
          <w:color w:val="000000"/>
          <w:kern w:val="0"/>
          <w:sz w:val="24"/>
          <w:szCs w:val="22"/>
        </w:rPr>
      </w:pPr>
    </w:p>
    <w:p>
      <w:pPr>
        <w:jc w:val="left"/>
        <w:rPr>
          <w:rFonts w:ascii="宋体" w:hAnsi="宋体" w:cs="仿宋_GB2312"/>
          <w:bCs/>
          <w:color w:val="FF0000"/>
          <w:kern w:val="0"/>
          <w:sz w:val="24"/>
          <w:szCs w:val="22"/>
        </w:rPr>
      </w:pPr>
    </w:p>
    <w:p>
      <w:pPr>
        <w:spacing w:line="360" w:lineRule="auto"/>
        <w:jc w:val="center"/>
        <w:rPr>
          <w:rFonts w:ascii="宋体" w:hAnsi="宋体"/>
          <w:color w:val="FF0000"/>
          <w:sz w:val="24"/>
        </w:rPr>
      </w:pPr>
      <w:r>
        <w:rPr>
          <w:rFonts w:ascii="宋体" w:hAnsi="宋体"/>
          <w:color w:val="FF0000"/>
          <w:sz w:val="24"/>
        </w:rPr>
        <w:t xml:space="preserve"> </w:t>
      </w:r>
    </w:p>
    <w:p>
      <w:pPr>
        <w:spacing w:line="360" w:lineRule="auto"/>
        <w:rPr>
          <w:rFonts w:ascii="宋体" w:hAnsi="宋体" w:cs="仿宋_GB2312"/>
          <w:bCs/>
          <w:color w:val="000000"/>
          <w:kern w:val="0"/>
          <w:sz w:val="24"/>
          <w:szCs w:val="22"/>
        </w:rPr>
      </w:pPr>
    </w:p>
    <w:sectPr>
      <w:headerReference r:id="rId3" w:type="default"/>
      <w:footerReference r:id="rId4" w:type="default"/>
      <w:footerReference r:id="rId5" w:type="even"/>
      <w:pgSz w:w="11907" w:h="16840"/>
      <w:pgMar w:top="1418" w:right="1134" w:bottom="1134" w:left="1701" w:header="851" w:footer="851" w:gutter="0"/>
      <w:pgNumType w:start="0"/>
      <w:cols w:space="720" w:num="1"/>
      <w:titlePg/>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MS Sans Serif">
    <w:altName w:val="Arial"/>
    <w:panose1 w:val="00000000000000000000"/>
    <w:charset w:val="00"/>
    <w:family w:val="swiss"/>
    <w:pitch w:val="default"/>
    <w:sig w:usb0="00000000" w:usb1="00000000" w:usb2="00000000" w:usb3="00000000" w:csb0="00000001" w:csb1="00000000"/>
  </w:font>
  <w:font w:name="Calibri Light">
    <w:panose1 w:val="020F0302020204030204"/>
    <w:charset w:val="00"/>
    <w:family w:val="swiss"/>
    <w:pitch w:val="default"/>
    <w:sig w:usb0="A00002EF" w:usb1="4000207B" w:usb2="00000000" w:usb3="00000000" w:csb0="2000019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Microsoft YaHei UI">
    <w:altName w:val="宋体"/>
    <w:panose1 w:val="020B0503020204020204"/>
    <w:charset w:val="86"/>
    <w:family w:val="swiss"/>
    <w:pitch w:val="default"/>
    <w:sig w:usb0="00000000" w:usb1="00000000" w:usb2="00000016" w:usb3="00000000" w:csb0="0004001F" w:csb1="00000000"/>
  </w:font>
  <w:font w:name="Tahoma">
    <w:panose1 w:val="020B0604030504040204"/>
    <w:charset w:val="00"/>
    <w:family w:val="swiss"/>
    <w:pitch w:val="default"/>
    <w:sig w:usb0="E1002EFF" w:usb1="C000605B" w:usb2="00000029" w:usb3="00000000" w:csb0="200101FF" w:csb1="20280000"/>
  </w:font>
  <w:font w:name="华文细黑">
    <w:panose1 w:val="02010600040101010101"/>
    <w:charset w:val="86"/>
    <w:family w:val="auto"/>
    <w:pitch w:val="default"/>
    <w:sig w:usb0="00000287" w:usb1="080F0000" w:usb2="00000000" w:usb3="00000000" w:csb0="0004009F" w:csb1="DFD70000"/>
  </w:font>
  <w:font w:name="文鼎ＰＬ简中楷">
    <w:altName w:val="Times New Roman"/>
    <w:panose1 w:val="00000000000000000000"/>
    <w:charset w:val="00"/>
    <w:family w:val="roman"/>
    <w:pitch w:val="default"/>
    <w:sig w:usb0="00000000" w:usb1="00000000" w:usb2="00000000" w:usb3="00000000" w:csb0="00040001"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modern"/>
    <w:pitch w:val="default"/>
    <w:sig w:usb0="E00002FF" w:usb1="6AC7FDFB" w:usb2="00000012" w:usb3="00000000" w:csb0="4002009F" w:csb1="DFD70000"/>
  </w:font>
  <w:font w:name="隶书">
    <w:panose1 w:val="0201050906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framePr w:wrap="around" w:vAnchor="text" w:hAnchor="margin" w:xAlign="center" w:y="1"/>
      <w:rPr>
        <w:rStyle w:val="52"/>
      </w:rPr>
    </w:pPr>
    <w:r>
      <w:fldChar w:fldCharType="begin"/>
    </w:r>
    <w:r>
      <w:rPr>
        <w:rStyle w:val="52"/>
      </w:rPr>
      <w:instrText xml:space="preserve">PAGE  </w:instrText>
    </w:r>
    <w:r>
      <w:fldChar w:fldCharType="separate"/>
    </w:r>
    <w:r>
      <w:rPr>
        <w:rStyle w:val="52"/>
      </w:rPr>
      <w:t>46</w:t>
    </w:r>
    <w:r>
      <w:fldChar w:fldCharType="end"/>
    </w:r>
  </w:p>
  <w:p>
    <w:pPr>
      <w:pStyle w:val="3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framePr w:wrap="around" w:vAnchor="text" w:hAnchor="margin" w:xAlign="center" w:y="1"/>
      <w:rPr>
        <w:rStyle w:val="52"/>
      </w:rPr>
    </w:pPr>
    <w:r>
      <w:fldChar w:fldCharType="begin"/>
    </w:r>
    <w:r>
      <w:rPr>
        <w:rStyle w:val="52"/>
      </w:rPr>
      <w:instrText xml:space="preserve">PAGE  </w:instrText>
    </w:r>
    <w:r>
      <w:fldChar w:fldCharType="end"/>
    </w:r>
  </w:p>
  <w:p>
    <w:pPr>
      <w:pStyle w:val="3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2"/>
      <w:rPr>
        <w:rFonts w:eastAsia="隶书"/>
        <w:sz w:val="21"/>
        <w:szCs w:val="21"/>
      </w:rPr>
    </w:pPr>
    <w:r>
      <w:rPr>
        <w:rFonts w:hint="eastAsia"/>
        <w:sz w:val="21"/>
        <w:szCs w:val="21"/>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92F2B81"/>
    <w:multiLevelType w:val="multilevel"/>
    <w:tmpl w:val="292F2B81"/>
    <w:lvl w:ilvl="0" w:tentative="0">
      <w:start w:val="1"/>
      <w:numFmt w:val="decimal"/>
      <w:lvlText w:val="%1、"/>
      <w:lvlJc w:val="left"/>
      <w:pPr>
        <w:tabs>
          <w:tab w:val="left" w:pos="927"/>
        </w:tabs>
        <w:ind w:left="927" w:hanging="360"/>
      </w:pPr>
      <w:rPr>
        <w:rFonts w:hint="default"/>
      </w:rPr>
    </w:lvl>
    <w:lvl w:ilvl="1" w:tentative="0">
      <w:start w:val="1"/>
      <w:numFmt w:val="lowerLetter"/>
      <w:lvlText w:val="%2)"/>
      <w:lvlJc w:val="left"/>
      <w:pPr>
        <w:tabs>
          <w:tab w:val="left" w:pos="1339"/>
        </w:tabs>
        <w:ind w:left="1339" w:hanging="420"/>
      </w:pPr>
    </w:lvl>
    <w:lvl w:ilvl="2" w:tentative="0">
      <w:start w:val="1"/>
      <w:numFmt w:val="lowerRoman"/>
      <w:lvlText w:val="%3."/>
      <w:lvlJc w:val="right"/>
      <w:pPr>
        <w:tabs>
          <w:tab w:val="left" w:pos="1759"/>
        </w:tabs>
        <w:ind w:left="1759" w:hanging="420"/>
      </w:pPr>
    </w:lvl>
    <w:lvl w:ilvl="3" w:tentative="0">
      <w:start w:val="1"/>
      <w:numFmt w:val="decimal"/>
      <w:lvlText w:val="%4."/>
      <w:lvlJc w:val="left"/>
      <w:pPr>
        <w:tabs>
          <w:tab w:val="left" w:pos="2179"/>
        </w:tabs>
        <w:ind w:left="2179" w:hanging="420"/>
      </w:pPr>
    </w:lvl>
    <w:lvl w:ilvl="4" w:tentative="0">
      <w:start w:val="1"/>
      <w:numFmt w:val="lowerLetter"/>
      <w:lvlText w:val="%5)"/>
      <w:lvlJc w:val="left"/>
      <w:pPr>
        <w:tabs>
          <w:tab w:val="left" w:pos="2599"/>
        </w:tabs>
        <w:ind w:left="2599" w:hanging="420"/>
      </w:pPr>
    </w:lvl>
    <w:lvl w:ilvl="5" w:tentative="0">
      <w:start w:val="1"/>
      <w:numFmt w:val="lowerRoman"/>
      <w:lvlText w:val="%6."/>
      <w:lvlJc w:val="right"/>
      <w:pPr>
        <w:tabs>
          <w:tab w:val="left" w:pos="3019"/>
        </w:tabs>
        <w:ind w:left="3019" w:hanging="420"/>
      </w:pPr>
    </w:lvl>
    <w:lvl w:ilvl="6" w:tentative="0">
      <w:start w:val="1"/>
      <w:numFmt w:val="decimal"/>
      <w:lvlText w:val="%7."/>
      <w:lvlJc w:val="left"/>
      <w:pPr>
        <w:tabs>
          <w:tab w:val="left" w:pos="3439"/>
        </w:tabs>
        <w:ind w:left="3439" w:hanging="420"/>
      </w:pPr>
    </w:lvl>
    <w:lvl w:ilvl="7" w:tentative="0">
      <w:start w:val="1"/>
      <w:numFmt w:val="lowerLetter"/>
      <w:lvlText w:val="%8)"/>
      <w:lvlJc w:val="left"/>
      <w:pPr>
        <w:tabs>
          <w:tab w:val="left" w:pos="3859"/>
        </w:tabs>
        <w:ind w:left="3859" w:hanging="420"/>
      </w:pPr>
    </w:lvl>
    <w:lvl w:ilvl="8" w:tentative="0">
      <w:start w:val="1"/>
      <w:numFmt w:val="lowerRoman"/>
      <w:lvlText w:val="%9."/>
      <w:lvlJc w:val="right"/>
      <w:pPr>
        <w:tabs>
          <w:tab w:val="left" w:pos="4279"/>
        </w:tabs>
        <w:ind w:left="4279" w:hanging="420"/>
      </w:pPr>
    </w:lvl>
  </w:abstractNum>
  <w:abstractNum w:abstractNumId="1">
    <w:nsid w:val="39D55B29"/>
    <w:multiLevelType w:val="multilevel"/>
    <w:tmpl w:val="39D55B29"/>
    <w:lvl w:ilvl="0" w:tentative="0">
      <w:start w:val="1"/>
      <w:numFmt w:val="japaneseCounting"/>
      <w:lvlText w:val="%1、"/>
      <w:lvlJc w:val="left"/>
      <w:pPr>
        <w:ind w:left="1020" w:hanging="690"/>
      </w:pPr>
      <w:rPr>
        <w:rFonts w:hint="default" w:ascii="Arial" w:hAnsi="Arial" w:eastAsia="黑体"/>
        <w:sz w:val="32"/>
      </w:rPr>
    </w:lvl>
    <w:lvl w:ilvl="1" w:tentative="0">
      <w:start w:val="1"/>
      <w:numFmt w:val="lowerLetter"/>
      <w:lvlText w:val="%2)"/>
      <w:lvlJc w:val="left"/>
      <w:pPr>
        <w:ind w:left="1170" w:hanging="420"/>
      </w:pPr>
    </w:lvl>
    <w:lvl w:ilvl="2" w:tentative="0">
      <w:start w:val="1"/>
      <w:numFmt w:val="lowerRoman"/>
      <w:lvlText w:val="%3."/>
      <w:lvlJc w:val="right"/>
      <w:pPr>
        <w:ind w:left="1590" w:hanging="420"/>
      </w:pPr>
    </w:lvl>
    <w:lvl w:ilvl="3" w:tentative="0">
      <w:start w:val="1"/>
      <w:numFmt w:val="decimal"/>
      <w:lvlText w:val="%4."/>
      <w:lvlJc w:val="left"/>
      <w:pPr>
        <w:ind w:left="2010" w:hanging="420"/>
      </w:pPr>
    </w:lvl>
    <w:lvl w:ilvl="4" w:tentative="0">
      <w:start w:val="1"/>
      <w:numFmt w:val="lowerLetter"/>
      <w:lvlText w:val="%5)"/>
      <w:lvlJc w:val="left"/>
      <w:pPr>
        <w:ind w:left="2430" w:hanging="420"/>
      </w:pPr>
    </w:lvl>
    <w:lvl w:ilvl="5" w:tentative="0">
      <w:start w:val="1"/>
      <w:numFmt w:val="lowerRoman"/>
      <w:lvlText w:val="%6."/>
      <w:lvlJc w:val="right"/>
      <w:pPr>
        <w:ind w:left="2850" w:hanging="420"/>
      </w:pPr>
    </w:lvl>
    <w:lvl w:ilvl="6" w:tentative="0">
      <w:start w:val="1"/>
      <w:numFmt w:val="decimal"/>
      <w:lvlText w:val="%7."/>
      <w:lvlJc w:val="left"/>
      <w:pPr>
        <w:ind w:left="3270" w:hanging="420"/>
      </w:pPr>
    </w:lvl>
    <w:lvl w:ilvl="7" w:tentative="0">
      <w:start w:val="1"/>
      <w:numFmt w:val="lowerLetter"/>
      <w:lvlText w:val="%8)"/>
      <w:lvlJc w:val="left"/>
      <w:pPr>
        <w:ind w:left="3690" w:hanging="420"/>
      </w:pPr>
    </w:lvl>
    <w:lvl w:ilvl="8" w:tentative="0">
      <w:start w:val="1"/>
      <w:numFmt w:val="lowerRoman"/>
      <w:lvlText w:val="%9."/>
      <w:lvlJc w:val="right"/>
      <w:pPr>
        <w:ind w:left="4110" w:hanging="420"/>
      </w:pPr>
    </w:lvl>
  </w:abstractNum>
  <w:abstractNum w:abstractNumId="2">
    <w:nsid w:val="60AE39CC"/>
    <w:multiLevelType w:val="multilevel"/>
    <w:tmpl w:val="60AE39CC"/>
    <w:lvl w:ilvl="0" w:tentative="0">
      <w:start w:val="1"/>
      <w:numFmt w:val="none"/>
      <w:pStyle w:val="2"/>
      <w:lvlText w:val=""/>
      <w:lvlJc w:val="left"/>
      <w:pPr>
        <w:tabs>
          <w:tab w:val="left" w:pos="432"/>
        </w:tabs>
        <w:ind w:left="432" w:hanging="432"/>
      </w:pPr>
      <w:rPr>
        <w:rFonts w:hint="eastAsia"/>
      </w:rPr>
    </w:lvl>
    <w:lvl w:ilvl="1" w:tentative="0">
      <w:start w:val="1"/>
      <w:numFmt w:val="none"/>
      <w:lvlText w:val=" "/>
      <w:lvlJc w:val="left"/>
      <w:pPr>
        <w:tabs>
          <w:tab w:val="left" w:pos="576"/>
        </w:tabs>
        <w:ind w:left="576" w:hanging="576"/>
      </w:pPr>
      <w:rPr>
        <w:rFonts w:hint="eastAsia"/>
      </w:rPr>
    </w:lvl>
    <w:lvl w:ilvl="2" w:tentative="0">
      <w:start w:val="1"/>
      <w:numFmt w:val="none"/>
      <w:pStyle w:val="5"/>
      <w:lvlText w:val=""/>
      <w:lvlJc w:val="left"/>
      <w:pPr>
        <w:tabs>
          <w:tab w:val="left" w:pos="720"/>
        </w:tabs>
        <w:ind w:left="720" w:hanging="720"/>
      </w:pPr>
      <w:rPr>
        <w:rFonts w:hint="eastAsia"/>
      </w:rPr>
    </w:lvl>
    <w:lvl w:ilvl="3" w:tentative="0">
      <w:start w:val="1"/>
      <w:numFmt w:val="none"/>
      <w:lvlText w:val="    "/>
      <w:lvlJc w:val="left"/>
      <w:pPr>
        <w:tabs>
          <w:tab w:val="left" w:pos="864"/>
        </w:tabs>
        <w:ind w:left="864" w:hanging="864"/>
      </w:pPr>
      <w:rPr>
        <w:rFonts w:hint="eastAsia"/>
      </w:rPr>
    </w:lvl>
    <w:lvl w:ilvl="4" w:tentative="0">
      <w:start w:val="1"/>
      <w:numFmt w:val="none"/>
      <w:lvlText w:val="      "/>
      <w:lvlJc w:val="left"/>
      <w:pPr>
        <w:tabs>
          <w:tab w:val="left" w:pos="1008"/>
        </w:tabs>
        <w:ind w:left="1008" w:hanging="1008"/>
      </w:pPr>
      <w:rPr>
        <w:rFonts w:hint="eastAsia"/>
      </w:rPr>
    </w:lvl>
    <w:lvl w:ilvl="5" w:tentative="0">
      <w:start w:val="1"/>
      <w:numFmt w:val="none"/>
      <w:pStyle w:val="8"/>
      <w:lvlText w:val="           "/>
      <w:lvlJc w:val="left"/>
      <w:pPr>
        <w:tabs>
          <w:tab w:val="left" w:pos="1440"/>
        </w:tabs>
        <w:ind w:left="1152" w:hanging="1152"/>
      </w:pPr>
      <w:rPr>
        <w:rFonts w:hint="eastAsia"/>
      </w:rPr>
    </w:lvl>
    <w:lvl w:ilvl="6" w:tentative="0">
      <w:start w:val="1"/>
      <w:numFmt w:val="decimal"/>
      <w:pStyle w:val="9"/>
      <w:lvlText w:val="%1.%2.%3.%4.%5.%6.%7"/>
      <w:lvlJc w:val="left"/>
      <w:pPr>
        <w:tabs>
          <w:tab w:val="left" w:pos="2520"/>
        </w:tabs>
        <w:ind w:left="1296" w:hanging="1296"/>
      </w:pPr>
      <w:rPr>
        <w:rFonts w:hint="eastAsia"/>
      </w:rPr>
    </w:lvl>
    <w:lvl w:ilvl="7" w:tentative="0">
      <w:start w:val="1"/>
      <w:numFmt w:val="decimal"/>
      <w:pStyle w:val="10"/>
      <w:lvlText w:val="%1.%2.%3.%4.%5.%6.%7.%8"/>
      <w:lvlJc w:val="left"/>
      <w:pPr>
        <w:tabs>
          <w:tab w:val="left" w:pos="1440"/>
        </w:tabs>
        <w:ind w:left="1440" w:hanging="1440"/>
      </w:pPr>
      <w:rPr>
        <w:rFonts w:hint="eastAsia"/>
      </w:rPr>
    </w:lvl>
    <w:lvl w:ilvl="8" w:tentative="0">
      <w:start w:val="1"/>
      <w:numFmt w:val="decimal"/>
      <w:pStyle w:val="11"/>
      <w:lvlText w:val="%1.%2.%3.%4.%5.%6.%7.%8.%9"/>
      <w:lvlJc w:val="left"/>
      <w:pPr>
        <w:tabs>
          <w:tab w:val="left" w:pos="1584"/>
        </w:tabs>
        <w:ind w:left="1584" w:hanging="1584"/>
      </w:pPr>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5A2C"/>
    <w:rsid w:val="00002484"/>
    <w:rsid w:val="00003BBE"/>
    <w:rsid w:val="00003EC6"/>
    <w:rsid w:val="00005E93"/>
    <w:rsid w:val="00006DAE"/>
    <w:rsid w:val="00010A51"/>
    <w:rsid w:val="000117B1"/>
    <w:rsid w:val="00012664"/>
    <w:rsid w:val="00012766"/>
    <w:rsid w:val="00014E0C"/>
    <w:rsid w:val="0001708A"/>
    <w:rsid w:val="00020662"/>
    <w:rsid w:val="00021B4D"/>
    <w:rsid w:val="00024AA3"/>
    <w:rsid w:val="00026BD8"/>
    <w:rsid w:val="00027D12"/>
    <w:rsid w:val="00027FC0"/>
    <w:rsid w:val="00032CA0"/>
    <w:rsid w:val="00034D39"/>
    <w:rsid w:val="000379C9"/>
    <w:rsid w:val="000424AC"/>
    <w:rsid w:val="00042D70"/>
    <w:rsid w:val="00043809"/>
    <w:rsid w:val="00044A29"/>
    <w:rsid w:val="00050309"/>
    <w:rsid w:val="00050728"/>
    <w:rsid w:val="00050FC4"/>
    <w:rsid w:val="00053A9E"/>
    <w:rsid w:val="00053AE2"/>
    <w:rsid w:val="000577AB"/>
    <w:rsid w:val="00057CC0"/>
    <w:rsid w:val="00060301"/>
    <w:rsid w:val="00061D69"/>
    <w:rsid w:val="000637CB"/>
    <w:rsid w:val="00063C3B"/>
    <w:rsid w:val="000654A9"/>
    <w:rsid w:val="00067B55"/>
    <w:rsid w:val="00067F5A"/>
    <w:rsid w:val="00072329"/>
    <w:rsid w:val="00074685"/>
    <w:rsid w:val="0008042C"/>
    <w:rsid w:val="00081239"/>
    <w:rsid w:val="0008267A"/>
    <w:rsid w:val="00082AAB"/>
    <w:rsid w:val="0008449C"/>
    <w:rsid w:val="00091887"/>
    <w:rsid w:val="0009263E"/>
    <w:rsid w:val="00092D97"/>
    <w:rsid w:val="00094BAE"/>
    <w:rsid w:val="0009596C"/>
    <w:rsid w:val="0009652F"/>
    <w:rsid w:val="000A0270"/>
    <w:rsid w:val="000A0961"/>
    <w:rsid w:val="000A09C3"/>
    <w:rsid w:val="000A0AD7"/>
    <w:rsid w:val="000A2C8A"/>
    <w:rsid w:val="000A3D0C"/>
    <w:rsid w:val="000A48D7"/>
    <w:rsid w:val="000A4CC1"/>
    <w:rsid w:val="000A5A23"/>
    <w:rsid w:val="000A61F8"/>
    <w:rsid w:val="000A6B04"/>
    <w:rsid w:val="000A70BF"/>
    <w:rsid w:val="000A7496"/>
    <w:rsid w:val="000A7865"/>
    <w:rsid w:val="000A7E21"/>
    <w:rsid w:val="000B0C0D"/>
    <w:rsid w:val="000B3092"/>
    <w:rsid w:val="000B3DA4"/>
    <w:rsid w:val="000B5F8A"/>
    <w:rsid w:val="000B6C28"/>
    <w:rsid w:val="000B7BDE"/>
    <w:rsid w:val="000C1371"/>
    <w:rsid w:val="000C2F4D"/>
    <w:rsid w:val="000C354E"/>
    <w:rsid w:val="000C3A81"/>
    <w:rsid w:val="000C4ADB"/>
    <w:rsid w:val="000C4E07"/>
    <w:rsid w:val="000C6E3E"/>
    <w:rsid w:val="000C7B0D"/>
    <w:rsid w:val="000D2990"/>
    <w:rsid w:val="000D396F"/>
    <w:rsid w:val="000D430E"/>
    <w:rsid w:val="000D4352"/>
    <w:rsid w:val="000D4F0A"/>
    <w:rsid w:val="000D6470"/>
    <w:rsid w:val="000D68EB"/>
    <w:rsid w:val="000D7018"/>
    <w:rsid w:val="000D717D"/>
    <w:rsid w:val="000D75EA"/>
    <w:rsid w:val="000E0670"/>
    <w:rsid w:val="000E0CB8"/>
    <w:rsid w:val="000E1C46"/>
    <w:rsid w:val="000E32F5"/>
    <w:rsid w:val="000E3343"/>
    <w:rsid w:val="000E3DDD"/>
    <w:rsid w:val="000E3F5B"/>
    <w:rsid w:val="000E3FDA"/>
    <w:rsid w:val="000E4158"/>
    <w:rsid w:val="000E5102"/>
    <w:rsid w:val="000E5474"/>
    <w:rsid w:val="000E7809"/>
    <w:rsid w:val="000E7D76"/>
    <w:rsid w:val="000E7E7E"/>
    <w:rsid w:val="000F0E81"/>
    <w:rsid w:val="000F4E93"/>
    <w:rsid w:val="000F567D"/>
    <w:rsid w:val="000F5C7A"/>
    <w:rsid w:val="00100A1E"/>
    <w:rsid w:val="001023BA"/>
    <w:rsid w:val="00102412"/>
    <w:rsid w:val="00104CA1"/>
    <w:rsid w:val="001058FB"/>
    <w:rsid w:val="00105CEC"/>
    <w:rsid w:val="001078FC"/>
    <w:rsid w:val="00110C0D"/>
    <w:rsid w:val="001134D7"/>
    <w:rsid w:val="00114A9E"/>
    <w:rsid w:val="00114B41"/>
    <w:rsid w:val="00114F2A"/>
    <w:rsid w:val="001164C5"/>
    <w:rsid w:val="00116D34"/>
    <w:rsid w:val="00117F74"/>
    <w:rsid w:val="00120518"/>
    <w:rsid w:val="00121D85"/>
    <w:rsid w:val="00121E3F"/>
    <w:rsid w:val="00122258"/>
    <w:rsid w:val="001230FE"/>
    <w:rsid w:val="00123AB0"/>
    <w:rsid w:val="001242E5"/>
    <w:rsid w:val="001303C3"/>
    <w:rsid w:val="00130EB0"/>
    <w:rsid w:val="00131DC7"/>
    <w:rsid w:val="0013336D"/>
    <w:rsid w:val="00133A1E"/>
    <w:rsid w:val="00134579"/>
    <w:rsid w:val="00137C74"/>
    <w:rsid w:val="00141496"/>
    <w:rsid w:val="00142715"/>
    <w:rsid w:val="00142996"/>
    <w:rsid w:val="00145887"/>
    <w:rsid w:val="00145CC8"/>
    <w:rsid w:val="0014781F"/>
    <w:rsid w:val="001541A7"/>
    <w:rsid w:val="00154595"/>
    <w:rsid w:val="0015566D"/>
    <w:rsid w:val="00155A95"/>
    <w:rsid w:val="00155C8C"/>
    <w:rsid w:val="00156149"/>
    <w:rsid w:val="001575D0"/>
    <w:rsid w:val="001602B7"/>
    <w:rsid w:val="00161ADF"/>
    <w:rsid w:val="0016690D"/>
    <w:rsid w:val="00167E8B"/>
    <w:rsid w:val="00170134"/>
    <w:rsid w:val="00170354"/>
    <w:rsid w:val="00170949"/>
    <w:rsid w:val="0017139B"/>
    <w:rsid w:val="001729B8"/>
    <w:rsid w:val="0017345A"/>
    <w:rsid w:val="001755BA"/>
    <w:rsid w:val="00175F81"/>
    <w:rsid w:val="001808DD"/>
    <w:rsid w:val="00181FA0"/>
    <w:rsid w:val="00185593"/>
    <w:rsid w:val="0018705C"/>
    <w:rsid w:val="001879CF"/>
    <w:rsid w:val="001904EB"/>
    <w:rsid w:val="00191389"/>
    <w:rsid w:val="00191AEC"/>
    <w:rsid w:val="001922DB"/>
    <w:rsid w:val="00192783"/>
    <w:rsid w:val="00193646"/>
    <w:rsid w:val="00194FB6"/>
    <w:rsid w:val="00195461"/>
    <w:rsid w:val="001A2570"/>
    <w:rsid w:val="001A28B0"/>
    <w:rsid w:val="001A367A"/>
    <w:rsid w:val="001A4D0A"/>
    <w:rsid w:val="001A5F84"/>
    <w:rsid w:val="001A61AB"/>
    <w:rsid w:val="001A7941"/>
    <w:rsid w:val="001A7F85"/>
    <w:rsid w:val="001B14DC"/>
    <w:rsid w:val="001B1C38"/>
    <w:rsid w:val="001B2CE5"/>
    <w:rsid w:val="001B359A"/>
    <w:rsid w:val="001B3AD7"/>
    <w:rsid w:val="001B3B79"/>
    <w:rsid w:val="001B5B68"/>
    <w:rsid w:val="001C107F"/>
    <w:rsid w:val="001C2894"/>
    <w:rsid w:val="001C37DC"/>
    <w:rsid w:val="001C3B6A"/>
    <w:rsid w:val="001C6C28"/>
    <w:rsid w:val="001C6F26"/>
    <w:rsid w:val="001C7290"/>
    <w:rsid w:val="001C74C7"/>
    <w:rsid w:val="001D0A28"/>
    <w:rsid w:val="001D0DCE"/>
    <w:rsid w:val="001D4372"/>
    <w:rsid w:val="001D5B42"/>
    <w:rsid w:val="001D5E2A"/>
    <w:rsid w:val="001D68EA"/>
    <w:rsid w:val="001D7E16"/>
    <w:rsid w:val="001D7F5B"/>
    <w:rsid w:val="001E19F7"/>
    <w:rsid w:val="001E4170"/>
    <w:rsid w:val="001E5409"/>
    <w:rsid w:val="001E6DB2"/>
    <w:rsid w:val="001E73F5"/>
    <w:rsid w:val="001F0175"/>
    <w:rsid w:val="001F0908"/>
    <w:rsid w:val="001F17B8"/>
    <w:rsid w:val="001F1F11"/>
    <w:rsid w:val="001F32E2"/>
    <w:rsid w:val="001F3301"/>
    <w:rsid w:val="001F34E5"/>
    <w:rsid w:val="001F471C"/>
    <w:rsid w:val="001F6691"/>
    <w:rsid w:val="001F743C"/>
    <w:rsid w:val="001F7F95"/>
    <w:rsid w:val="00201594"/>
    <w:rsid w:val="00201DDD"/>
    <w:rsid w:val="00202644"/>
    <w:rsid w:val="00204F1F"/>
    <w:rsid w:val="002069DE"/>
    <w:rsid w:val="00206E6D"/>
    <w:rsid w:val="00217BA9"/>
    <w:rsid w:val="00217C18"/>
    <w:rsid w:val="00220F10"/>
    <w:rsid w:val="00223818"/>
    <w:rsid w:val="002257F1"/>
    <w:rsid w:val="0022640D"/>
    <w:rsid w:val="002272F3"/>
    <w:rsid w:val="00227A76"/>
    <w:rsid w:val="00230881"/>
    <w:rsid w:val="00230A46"/>
    <w:rsid w:val="00232400"/>
    <w:rsid w:val="00233FCD"/>
    <w:rsid w:val="00234EA6"/>
    <w:rsid w:val="00234F30"/>
    <w:rsid w:val="00236C34"/>
    <w:rsid w:val="00237E68"/>
    <w:rsid w:val="0024049C"/>
    <w:rsid w:val="0024079F"/>
    <w:rsid w:val="002411E0"/>
    <w:rsid w:val="00245532"/>
    <w:rsid w:val="00247918"/>
    <w:rsid w:val="00250EDC"/>
    <w:rsid w:val="00251656"/>
    <w:rsid w:val="00252199"/>
    <w:rsid w:val="00252415"/>
    <w:rsid w:val="00252447"/>
    <w:rsid w:val="00252624"/>
    <w:rsid w:val="00255BE8"/>
    <w:rsid w:val="0025760C"/>
    <w:rsid w:val="0026068E"/>
    <w:rsid w:val="0026216D"/>
    <w:rsid w:val="002621C9"/>
    <w:rsid w:val="002638C4"/>
    <w:rsid w:val="002650FA"/>
    <w:rsid w:val="0027420E"/>
    <w:rsid w:val="0027469E"/>
    <w:rsid w:val="00276DF5"/>
    <w:rsid w:val="00277BCD"/>
    <w:rsid w:val="0028033A"/>
    <w:rsid w:val="00280496"/>
    <w:rsid w:val="00280683"/>
    <w:rsid w:val="00281212"/>
    <w:rsid w:val="00281542"/>
    <w:rsid w:val="002816AC"/>
    <w:rsid w:val="0028579C"/>
    <w:rsid w:val="00285EFB"/>
    <w:rsid w:val="002862FC"/>
    <w:rsid w:val="00286836"/>
    <w:rsid w:val="00286A7C"/>
    <w:rsid w:val="00286D7C"/>
    <w:rsid w:val="00287153"/>
    <w:rsid w:val="00291995"/>
    <w:rsid w:val="0029211D"/>
    <w:rsid w:val="00295650"/>
    <w:rsid w:val="00295C8D"/>
    <w:rsid w:val="0029665A"/>
    <w:rsid w:val="002967D6"/>
    <w:rsid w:val="00297A88"/>
    <w:rsid w:val="002A03EB"/>
    <w:rsid w:val="002A2B0B"/>
    <w:rsid w:val="002A3C56"/>
    <w:rsid w:val="002A4DA2"/>
    <w:rsid w:val="002A50DF"/>
    <w:rsid w:val="002A5E7C"/>
    <w:rsid w:val="002B0071"/>
    <w:rsid w:val="002B2299"/>
    <w:rsid w:val="002B30CA"/>
    <w:rsid w:val="002B3B98"/>
    <w:rsid w:val="002B3E14"/>
    <w:rsid w:val="002B3E60"/>
    <w:rsid w:val="002B477C"/>
    <w:rsid w:val="002B48B8"/>
    <w:rsid w:val="002B50D2"/>
    <w:rsid w:val="002B55A0"/>
    <w:rsid w:val="002B6569"/>
    <w:rsid w:val="002B73E8"/>
    <w:rsid w:val="002C0FFC"/>
    <w:rsid w:val="002C228F"/>
    <w:rsid w:val="002C24E0"/>
    <w:rsid w:val="002C585F"/>
    <w:rsid w:val="002C699C"/>
    <w:rsid w:val="002D06B4"/>
    <w:rsid w:val="002D16D7"/>
    <w:rsid w:val="002D1706"/>
    <w:rsid w:val="002D29A7"/>
    <w:rsid w:val="002D2CD6"/>
    <w:rsid w:val="002D36A6"/>
    <w:rsid w:val="002D62E5"/>
    <w:rsid w:val="002D6CA6"/>
    <w:rsid w:val="002E0625"/>
    <w:rsid w:val="002E31CA"/>
    <w:rsid w:val="002E5869"/>
    <w:rsid w:val="002F13BF"/>
    <w:rsid w:val="002F18BC"/>
    <w:rsid w:val="002F1DFE"/>
    <w:rsid w:val="002F353E"/>
    <w:rsid w:val="002F404E"/>
    <w:rsid w:val="00302919"/>
    <w:rsid w:val="003030B0"/>
    <w:rsid w:val="00306C9D"/>
    <w:rsid w:val="00307CD9"/>
    <w:rsid w:val="00310AB6"/>
    <w:rsid w:val="00311E4F"/>
    <w:rsid w:val="00312505"/>
    <w:rsid w:val="00313275"/>
    <w:rsid w:val="003143B8"/>
    <w:rsid w:val="00314E0A"/>
    <w:rsid w:val="003171B2"/>
    <w:rsid w:val="00317BB0"/>
    <w:rsid w:val="0032093D"/>
    <w:rsid w:val="00320BBD"/>
    <w:rsid w:val="00321998"/>
    <w:rsid w:val="00323863"/>
    <w:rsid w:val="00324969"/>
    <w:rsid w:val="003252DC"/>
    <w:rsid w:val="0032566B"/>
    <w:rsid w:val="0032570E"/>
    <w:rsid w:val="003260DC"/>
    <w:rsid w:val="003265BF"/>
    <w:rsid w:val="00331370"/>
    <w:rsid w:val="00334402"/>
    <w:rsid w:val="00334DE7"/>
    <w:rsid w:val="00336C27"/>
    <w:rsid w:val="00337DB9"/>
    <w:rsid w:val="0034066D"/>
    <w:rsid w:val="00341841"/>
    <w:rsid w:val="00341C28"/>
    <w:rsid w:val="00341D40"/>
    <w:rsid w:val="00341F89"/>
    <w:rsid w:val="003432CF"/>
    <w:rsid w:val="0034592F"/>
    <w:rsid w:val="00346577"/>
    <w:rsid w:val="00352098"/>
    <w:rsid w:val="00352F8C"/>
    <w:rsid w:val="00355419"/>
    <w:rsid w:val="00357797"/>
    <w:rsid w:val="00360AA8"/>
    <w:rsid w:val="00362C31"/>
    <w:rsid w:val="00363324"/>
    <w:rsid w:val="00365A72"/>
    <w:rsid w:val="00367308"/>
    <w:rsid w:val="00367838"/>
    <w:rsid w:val="00370204"/>
    <w:rsid w:val="00371F1B"/>
    <w:rsid w:val="00372016"/>
    <w:rsid w:val="00372D5E"/>
    <w:rsid w:val="00374603"/>
    <w:rsid w:val="00375263"/>
    <w:rsid w:val="00381E82"/>
    <w:rsid w:val="0038220E"/>
    <w:rsid w:val="00382A73"/>
    <w:rsid w:val="0038343A"/>
    <w:rsid w:val="00383E76"/>
    <w:rsid w:val="0038520D"/>
    <w:rsid w:val="00385A5E"/>
    <w:rsid w:val="00386AD1"/>
    <w:rsid w:val="003904DA"/>
    <w:rsid w:val="00390AD0"/>
    <w:rsid w:val="003948AE"/>
    <w:rsid w:val="00395C00"/>
    <w:rsid w:val="00397088"/>
    <w:rsid w:val="003A1906"/>
    <w:rsid w:val="003A331B"/>
    <w:rsid w:val="003A536B"/>
    <w:rsid w:val="003B14DD"/>
    <w:rsid w:val="003B1D5D"/>
    <w:rsid w:val="003B2991"/>
    <w:rsid w:val="003B2A6D"/>
    <w:rsid w:val="003B2C63"/>
    <w:rsid w:val="003B31A0"/>
    <w:rsid w:val="003B4633"/>
    <w:rsid w:val="003B48DD"/>
    <w:rsid w:val="003C0042"/>
    <w:rsid w:val="003C03B5"/>
    <w:rsid w:val="003C4931"/>
    <w:rsid w:val="003C6350"/>
    <w:rsid w:val="003C6B1C"/>
    <w:rsid w:val="003C7007"/>
    <w:rsid w:val="003D0403"/>
    <w:rsid w:val="003D0A70"/>
    <w:rsid w:val="003D1B09"/>
    <w:rsid w:val="003D3A61"/>
    <w:rsid w:val="003D5F9A"/>
    <w:rsid w:val="003D64D1"/>
    <w:rsid w:val="003D66D0"/>
    <w:rsid w:val="003D6AC2"/>
    <w:rsid w:val="003E0078"/>
    <w:rsid w:val="003E34FB"/>
    <w:rsid w:val="003E404B"/>
    <w:rsid w:val="003E52EF"/>
    <w:rsid w:val="003E7062"/>
    <w:rsid w:val="003F028B"/>
    <w:rsid w:val="003F0809"/>
    <w:rsid w:val="003F08CC"/>
    <w:rsid w:val="003F0B82"/>
    <w:rsid w:val="003F1806"/>
    <w:rsid w:val="003F3F73"/>
    <w:rsid w:val="003F4AFD"/>
    <w:rsid w:val="003F7787"/>
    <w:rsid w:val="003F7DF1"/>
    <w:rsid w:val="004015D4"/>
    <w:rsid w:val="00401CD1"/>
    <w:rsid w:val="00402E4F"/>
    <w:rsid w:val="00403BEC"/>
    <w:rsid w:val="00406167"/>
    <w:rsid w:val="00406EF8"/>
    <w:rsid w:val="00407F5D"/>
    <w:rsid w:val="00411ED2"/>
    <w:rsid w:val="00412042"/>
    <w:rsid w:val="00413405"/>
    <w:rsid w:val="00413DA8"/>
    <w:rsid w:val="004155D5"/>
    <w:rsid w:val="00415A2C"/>
    <w:rsid w:val="004160E0"/>
    <w:rsid w:val="00416221"/>
    <w:rsid w:val="00420FBA"/>
    <w:rsid w:val="00422A1E"/>
    <w:rsid w:val="00422A75"/>
    <w:rsid w:val="004237CC"/>
    <w:rsid w:val="00423BB5"/>
    <w:rsid w:val="004267D1"/>
    <w:rsid w:val="00426FA3"/>
    <w:rsid w:val="00427157"/>
    <w:rsid w:val="004278D2"/>
    <w:rsid w:val="00430A85"/>
    <w:rsid w:val="004311FE"/>
    <w:rsid w:val="004318F7"/>
    <w:rsid w:val="00432677"/>
    <w:rsid w:val="00433210"/>
    <w:rsid w:val="00436594"/>
    <w:rsid w:val="00437A50"/>
    <w:rsid w:val="00440700"/>
    <w:rsid w:val="00442578"/>
    <w:rsid w:val="00442D75"/>
    <w:rsid w:val="00442DDD"/>
    <w:rsid w:val="00442EFC"/>
    <w:rsid w:val="00443190"/>
    <w:rsid w:val="00443E74"/>
    <w:rsid w:val="00444E4B"/>
    <w:rsid w:val="00451F07"/>
    <w:rsid w:val="00452583"/>
    <w:rsid w:val="00452949"/>
    <w:rsid w:val="00455B44"/>
    <w:rsid w:val="00456EE8"/>
    <w:rsid w:val="0045743D"/>
    <w:rsid w:val="00457E5C"/>
    <w:rsid w:val="00460EC4"/>
    <w:rsid w:val="0046169F"/>
    <w:rsid w:val="00462F1A"/>
    <w:rsid w:val="00463A40"/>
    <w:rsid w:val="00464A24"/>
    <w:rsid w:val="00465171"/>
    <w:rsid w:val="00465846"/>
    <w:rsid w:val="00465B53"/>
    <w:rsid w:val="00465EA3"/>
    <w:rsid w:val="00465EAB"/>
    <w:rsid w:val="00466405"/>
    <w:rsid w:val="00466D02"/>
    <w:rsid w:val="00466D8F"/>
    <w:rsid w:val="004675E4"/>
    <w:rsid w:val="00471231"/>
    <w:rsid w:val="004731C9"/>
    <w:rsid w:val="00473FC8"/>
    <w:rsid w:val="00474334"/>
    <w:rsid w:val="00474673"/>
    <w:rsid w:val="0047480E"/>
    <w:rsid w:val="0047502B"/>
    <w:rsid w:val="00475DE3"/>
    <w:rsid w:val="00477BD8"/>
    <w:rsid w:val="00481358"/>
    <w:rsid w:val="00485003"/>
    <w:rsid w:val="00485A44"/>
    <w:rsid w:val="00485C03"/>
    <w:rsid w:val="00486CF5"/>
    <w:rsid w:val="00487660"/>
    <w:rsid w:val="0049191F"/>
    <w:rsid w:val="00491D6E"/>
    <w:rsid w:val="004920C7"/>
    <w:rsid w:val="00493028"/>
    <w:rsid w:val="004935FB"/>
    <w:rsid w:val="00493CF2"/>
    <w:rsid w:val="004944A5"/>
    <w:rsid w:val="00494BDF"/>
    <w:rsid w:val="0049539F"/>
    <w:rsid w:val="00495EFF"/>
    <w:rsid w:val="00496EEA"/>
    <w:rsid w:val="004A24F5"/>
    <w:rsid w:val="004A46F1"/>
    <w:rsid w:val="004A7B41"/>
    <w:rsid w:val="004B1C7E"/>
    <w:rsid w:val="004B2224"/>
    <w:rsid w:val="004B4DAE"/>
    <w:rsid w:val="004B66DC"/>
    <w:rsid w:val="004C04DA"/>
    <w:rsid w:val="004C2055"/>
    <w:rsid w:val="004C29FC"/>
    <w:rsid w:val="004C3423"/>
    <w:rsid w:val="004C4757"/>
    <w:rsid w:val="004D0D5A"/>
    <w:rsid w:val="004D22F2"/>
    <w:rsid w:val="004D3148"/>
    <w:rsid w:val="004D3B71"/>
    <w:rsid w:val="004D3E91"/>
    <w:rsid w:val="004D4137"/>
    <w:rsid w:val="004D43CD"/>
    <w:rsid w:val="004D67B9"/>
    <w:rsid w:val="004D7F72"/>
    <w:rsid w:val="004E0FF6"/>
    <w:rsid w:val="004E14CC"/>
    <w:rsid w:val="004E2DE3"/>
    <w:rsid w:val="004E7959"/>
    <w:rsid w:val="004F0D41"/>
    <w:rsid w:val="004F1263"/>
    <w:rsid w:val="004F5238"/>
    <w:rsid w:val="004F57EB"/>
    <w:rsid w:val="004F63B6"/>
    <w:rsid w:val="00500C3B"/>
    <w:rsid w:val="00501A59"/>
    <w:rsid w:val="0050273A"/>
    <w:rsid w:val="00505451"/>
    <w:rsid w:val="00506060"/>
    <w:rsid w:val="005065D2"/>
    <w:rsid w:val="00506942"/>
    <w:rsid w:val="00507088"/>
    <w:rsid w:val="00507B35"/>
    <w:rsid w:val="00507C89"/>
    <w:rsid w:val="00507C9D"/>
    <w:rsid w:val="00511566"/>
    <w:rsid w:val="0051231E"/>
    <w:rsid w:val="005123AB"/>
    <w:rsid w:val="00512DCB"/>
    <w:rsid w:val="00512E22"/>
    <w:rsid w:val="00512E28"/>
    <w:rsid w:val="005172C4"/>
    <w:rsid w:val="0051767F"/>
    <w:rsid w:val="00517B50"/>
    <w:rsid w:val="00520799"/>
    <w:rsid w:val="00520DED"/>
    <w:rsid w:val="00521998"/>
    <w:rsid w:val="0052240D"/>
    <w:rsid w:val="00523A05"/>
    <w:rsid w:val="00530216"/>
    <w:rsid w:val="00530EA2"/>
    <w:rsid w:val="005335BE"/>
    <w:rsid w:val="00535F91"/>
    <w:rsid w:val="00537CE7"/>
    <w:rsid w:val="00537E69"/>
    <w:rsid w:val="005411DB"/>
    <w:rsid w:val="0054430A"/>
    <w:rsid w:val="00544850"/>
    <w:rsid w:val="00545201"/>
    <w:rsid w:val="00545C76"/>
    <w:rsid w:val="005467C3"/>
    <w:rsid w:val="00547860"/>
    <w:rsid w:val="005529A1"/>
    <w:rsid w:val="00553291"/>
    <w:rsid w:val="00553EF8"/>
    <w:rsid w:val="00555A51"/>
    <w:rsid w:val="005608AE"/>
    <w:rsid w:val="00563B5D"/>
    <w:rsid w:val="00564A74"/>
    <w:rsid w:val="00565460"/>
    <w:rsid w:val="005661B4"/>
    <w:rsid w:val="00566AF4"/>
    <w:rsid w:val="005676D6"/>
    <w:rsid w:val="00571483"/>
    <w:rsid w:val="0057250E"/>
    <w:rsid w:val="00574579"/>
    <w:rsid w:val="00574F34"/>
    <w:rsid w:val="00575069"/>
    <w:rsid w:val="00575642"/>
    <w:rsid w:val="00577277"/>
    <w:rsid w:val="00580D0E"/>
    <w:rsid w:val="00580D35"/>
    <w:rsid w:val="00581BF0"/>
    <w:rsid w:val="00583E2C"/>
    <w:rsid w:val="0058405F"/>
    <w:rsid w:val="0058551F"/>
    <w:rsid w:val="00586B4B"/>
    <w:rsid w:val="00586C6B"/>
    <w:rsid w:val="0058747C"/>
    <w:rsid w:val="00590105"/>
    <w:rsid w:val="00591BD6"/>
    <w:rsid w:val="00593926"/>
    <w:rsid w:val="00595160"/>
    <w:rsid w:val="005969EF"/>
    <w:rsid w:val="005A066D"/>
    <w:rsid w:val="005A0A1A"/>
    <w:rsid w:val="005A175C"/>
    <w:rsid w:val="005A1DB4"/>
    <w:rsid w:val="005A2674"/>
    <w:rsid w:val="005A3E40"/>
    <w:rsid w:val="005A47E0"/>
    <w:rsid w:val="005A551C"/>
    <w:rsid w:val="005A592C"/>
    <w:rsid w:val="005B07C3"/>
    <w:rsid w:val="005B2171"/>
    <w:rsid w:val="005B261A"/>
    <w:rsid w:val="005B3787"/>
    <w:rsid w:val="005B45DF"/>
    <w:rsid w:val="005B463E"/>
    <w:rsid w:val="005B6756"/>
    <w:rsid w:val="005B6AFB"/>
    <w:rsid w:val="005B7585"/>
    <w:rsid w:val="005C46A6"/>
    <w:rsid w:val="005C4DBD"/>
    <w:rsid w:val="005C5F5A"/>
    <w:rsid w:val="005C7357"/>
    <w:rsid w:val="005D0227"/>
    <w:rsid w:val="005D0682"/>
    <w:rsid w:val="005D232A"/>
    <w:rsid w:val="005D239D"/>
    <w:rsid w:val="005D33AB"/>
    <w:rsid w:val="005D4B13"/>
    <w:rsid w:val="005D5655"/>
    <w:rsid w:val="005E0E4C"/>
    <w:rsid w:val="005E42F1"/>
    <w:rsid w:val="005E455E"/>
    <w:rsid w:val="005E61F4"/>
    <w:rsid w:val="005E7BCD"/>
    <w:rsid w:val="005F080A"/>
    <w:rsid w:val="005F0C13"/>
    <w:rsid w:val="005F114D"/>
    <w:rsid w:val="005F1D43"/>
    <w:rsid w:val="005F218D"/>
    <w:rsid w:val="005F297E"/>
    <w:rsid w:val="005F2D3A"/>
    <w:rsid w:val="005F2F63"/>
    <w:rsid w:val="005F4078"/>
    <w:rsid w:val="006006BC"/>
    <w:rsid w:val="00601058"/>
    <w:rsid w:val="00603D74"/>
    <w:rsid w:val="00605E35"/>
    <w:rsid w:val="00606438"/>
    <w:rsid w:val="00606915"/>
    <w:rsid w:val="00612D7B"/>
    <w:rsid w:val="00614486"/>
    <w:rsid w:val="0061680A"/>
    <w:rsid w:val="00616B5D"/>
    <w:rsid w:val="006174D4"/>
    <w:rsid w:val="00621109"/>
    <w:rsid w:val="00621D9A"/>
    <w:rsid w:val="00624228"/>
    <w:rsid w:val="006249AA"/>
    <w:rsid w:val="006253C7"/>
    <w:rsid w:val="00630011"/>
    <w:rsid w:val="00630151"/>
    <w:rsid w:val="00630215"/>
    <w:rsid w:val="00631EAC"/>
    <w:rsid w:val="0063200F"/>
    <w:rsid w:val="006321AC"/>
    <w:rsid w:val="00632E70"/>
    <w:rsid w:val="0063730C"/>
    <w:rsid w:val="00641AFC"/>
    <w:rsid w:val="00642F54"/>
    <w:rsid w:val="00643611"/>
    <w:rsid w:val="00643883"/>
    <w:rsid w:val="00643F9F"/>
    <w:rsid w:val="00644368"/>
    <w:rsid w:val="00644884"/>
    <w:rsid w:val="00645E54"/>
    <w:rsid w:val="00646906"/>
    <w:rsid w:val="00651EC6"/>
    <w:rsid w:val="00652556"/>
    <w:rsid w:val="0065310C"/>
    <w:rsid w:val="00653E20"/>
    <w:rsid w:val="006555E6"/>
    <w:rsid w:val="00655A09"/>
    <w:rsid w:val="00655A3C"/>
    <w:rsid w:val="00656F5D"/>
    <w:rsid w:val="00660012"/>
    <w:rsid w:val="006623C7"/>
    <w:rsid w:val="00662644"/>
    <w:rsid w:val="006662CE"/>
    <w:rsid w:val="0066754D"/>
    <w:rsid w:val="00670296"/>
    <w:rsid w:val="0067072D"/>
    <w:rsid w:val="0067273B"/>
    <w:rsid w:val="0067687B"/>
    <w:rsid w:val="00677E2B"/>
    <w:rsid w:val="0068011D"/>
    <w:rsid w:val="0068017C"/>
    <w:rsid w:val="006801FD"/>
    <w:rsid w:val="00680926"/>
    <w:rsid w:val="00683116"/>
    <w:rsid w:val="00684412"/>
    <w:rsid w:val="00684CC0"/>
    <w:rsid w:val="00685750"/>
    <w:rsid w:val="0068610F"/>
    <w:rsid w:val="00686AD7"/>
    <w:rsid w:val="00690B16"/>
    <w:rsid w:val="0069339C"/>
    <w:rsid w:val="00695A1F"/>
    <w:rsid w:val="00696EE4"/>
    <w:rsid w:val="006976F2"/>
    <w:rsid w:val="006A0858"/>
    <w:rsid w:val="006A09A5"/>
    <w:rsid w:val="006A09EF"/>
    <w:rsid w:val="006A1A70"/>
    <w:rsid w:val="006A490F"/>
    <w:rsid w:val="006A6934"/>
    <w:rsid w:val="006B1FB8"/>
    <w:rsid w:val="006B2E30"/>
    <w:rsid w:val="006B30A3"/>
    <w:rsid w:val="006B320F"/>
    <w:rsid w:val="006B3EF0"/>
    <w:rsid w:val="006B47E1"/>
    <w:rsid w:val="006B492F"/>
    <w:rsid w:val="006B5CEA"/>
    <w:rsid w:val="006B6E06"/>
    <w:rsid w:val="006B7F0F"/>
    <w:rsid w:val="006C0DF2"/>
    <w:rsid w:val="006C1AC0"/>
    <w:rsid w:val="006C1C17"/>
    <w:rsid w:val="006C1CA2"/>
    <w:rsid w:val="006C3319"/>
    <w:rsid w:val="006C343D"/>
    <w:rsid w:val="006C3D53"/>
    <w:rsid w:val="006D0760"/>
    <w:rsid w:val="006D113D"/>
    <w:rsid w:val="006D18D5"/>
    <w:rsid w:val="006D298F"/>
    <w:rsid w:val="006D2A8E"/>
    <w:rsid w:val="006D6AD4"/>
    <w:rsid w:val="006D71F4"/>
    <w:rsid w:val="006D73EB"/>
    <w:rsid w:val="006E0A6B"/>
    <w:rsid w:val="006E0DCC"/>
    <w:rsid w:val="006E21FA"/>
    <w:rsid w:val="006E29DF"/>
    <w:rsid w:val="006E2CA9"/>
    <w:rsid w:val="006E3F76"/>
    <w:rsid w:val="006E5E70"/>
    <w:rsid w:val="006E6127"/>
    <w:rsid w:val="006E76C1"/>
    <w:rsid w:val="006F174F"/>
    <w:rsid w:val="006F1847"/>
    <w:rsid w:val="006F2305"/>
    <w:rsid w:val="006F2309"/>
    <w:rsid w:val="006F23C2"/>
    <w:rsid w:val="006F297C"/>
    <w:rsid w:val="006F4DD8"/>
    <w:rsid w:val="006F4FED"/>
    <w:rsid w:val="006F55AC"/>
    <w:rsid w:val="006F5F78"/>
    <w:rsid w:val="00700DA2"/>
    <w:rsid w:val="00700EDA"/>
    <w:rsid w:val="0070187C"/>
    <w:rsid w:val="00701B7A"/>
    <w:rsid w:val="00702887"/>
    <w:rsid w:val="007100C9"/>
    <w:rsid w:val="007102D5"/>
    <w:rsid w:val="00713799"/>
    <w:rsid w:val="007143FF"/>
    <w:rsid w:val="00715814"/>
    <w:rsid w:val="00715CC8"/>
    <w:rsid w:val="007162A3"/>
    <w:rsid w:val="007220A1"/>
    <w:rsid w:val="007232ED"/>
    <w:rsid w:val="00723465"/>
    <w:rsid w:val="00723BE4"/>
    <w:rsid w:val="00724216"/>
    <w:rsid w:val="00724F71"/>
    <w:rsid w:val="00724FC4"/>
    <w:rsid w:val="0072594E"/>
    <w:rsid w:val="007266F2"/>
    <w:rsid w:val="00726A15"/>
    <w:rsid w:val="0072700C"/>
    <w:rsid w:val="007332F6"/>
    <w:rsid w:val="00734110"/>
    <w:rsid w:val="00734D15"/>
    <w:rsid w:val="00734F6A"/>
    <w:rsid w:val="00735AED"/>
    <w:rsid w:val="00736603"/>
    <w:rsid w:val="00742211"/>
    <w:rsid w:val="007427F2"/>
    <w:rsid w:val="00742C1F"/>
    <w:rsid w:val="00743A87"/>
    <w:rsid w:val="00744976"/>
    <w:rsid w:val="00744ACC"/>
    <w:rsid w:val="00744C07"/>
    <w:rsid w:val="00744CED"/>
    <w:rsid w:val="00747337"/>
    <w:rsid w:val="00752469"/>
    <w:rsid w:val="00757725"/>
    <w:rsid w:val="007579FE"/>
    <w:rsid w:val="00760718"/>
    <w:rsid w:val="00760F0A"/>
    <w:rsid w:val="00760F9F"/>
    <w:rsid w:val="007617B6"/>
    <w:rsid w:val="00761BD0"/>
    <w:rsid w:val="00761C1F"/>
    <w:rsid w:val="00763915"/>
    <w:rsid w:val="00763D7A"/>
    <w:rsid w:val="00763FB3"/>
    <w:rsid w:val="007653D7"/>
    <w:rsid w:val="007655D8"/>
    <w:rsid w:val="00765684"/>
    <w:rsid w:val="00770C3D"/>
    <w:rsid w:val="00770DA0"/>
    <w:rsid w:val="0077225A"/>
    <w:rsid w:val="007737D7"/>
    <w:rsid w:val="0077444B"/>
    <w:rsid w:val="00774764"/>
    <w:rsid w:val="007755C6"/>
    <w:rsid w:val="00780D02"/>
    <w:rsid w:val="00780EE6"/>
    <w:rsid w:val="007814B0"/>
    <w:rsid w:val="00790D87"/>
    <w:rsid w:val="00791A29"/>
    <w:rsid w:val="00792394"/>
    <w:rsid w:val="0079325F"/>
    <w:rsid w:val="007932AE"/>
    <w:rsid w:val="00793836"/>
    <w:rsid w:val="00794720"/>
    <w:rsid w:val="0079495D"/>
    <w:rsid w:val="00794A46"/>
    <w:rsid w:val="0079551C"/>
    <w:rsid w:val="00795C51"/>
    <w:rsid w:val="00796A6D"/>
    <w:rsid w:val="007972A9"/>
    <w:rsid w:val="007A1198"/>
    <w:rsid w:val="007A12C8"/>
    <w:rsid w:val="007A1308"/>
    <w:rsid w:val="007A374C"/>
    <w:rsid w:val="007A5DDA"/>
    <w:rsid w:val="007A6A69"/>
    <w:rsid w:val="007B044D"/>
    <w:rsid w:val="007B28CA"/>
    <w:rsid w:val="007B50FC"/>
    <w:rsid w:val="007B53B3"/>
    <w:rsid w:val="007B6E54"/>
    <w:rsid w:val="007C1407"/>
    <w:rsid w:val="007C2F2E"/>
    <w:rsid w:val="007C40FF"/>
    <w:rsid w:val="007C424B"/>
    <w:rsid w:val="007C5DAC"/>
    <w:rsid w:val="007C668B"/>
    <w:rsid w:val="007C7AB8"/>
    <w:rsid w:val="007D47F3"/>
    <w:rsid w:val="007E32DA"/>
    <w:rsid w:val="007E61B2"/>
    <w:rsid w:val="007E67AD"/>
    <w:rsid w:val="007E793D"/>
    <w:rsid w:val="007F25E4"/>
    <w:rsid w:val="007F2EEE"/>
    <w:rsid w:val="00800B10"/>
    <w:rsid w:val="00804A94"/>
    <w:rsid w:val="00805092"/>
    <w:rsid w:val="00805757"/>
    <w:rsid w:val="00806253"/>
    <w:rsid w:val="0080776D"/>
    <w:rsid w:val="00810ED6"/>
    <w:rsid w:val="00811928"/>
    <w:rsid w:val="00812BF2"/>
    <w:rsid w:val="00812E4C"/>
    <w:rsid w:val="008135FE"/>
    <w:rsid w:val="008143F0"/>
    <w:rsid w:val="00814C62"/>
    <w:rsid w:val="0081612C"/>
    <w:rsid w:val="00817EF7"/>
    <w:rsid w:val="008211D1"/>
    <w:rsid w:val="0082383B"/>
    <w:rsid w:val="00826320"/>
    <w:rsid w:val="008266DC"/>
    <w:rsid w:val="00826F67"/>
    <w:rsid w:val="0082709A"/>
    <w:rsid w:val="008270F3"/>
    <w:rsid w:val="00827321"/>
    <w:rsid w:val="00830FB0"/>
    <w:rsid w:val="008311EA"/>
    <w:rsid w:val="0083330D"/>
    <w:rsid w:val="00834EA1"/>
    <w:rsid w:val="00836E35"/>
    <w:rsid w:val="008378E3"/>
    <w:rsid w:val="008404F9"/>
    <w:rsid w:val="00841756"/>
    <w:rsid w:val="00841F81"/>
    <w:rsid w:val="008420B3"/>
    <w:rsid w:val="008424F1"/>
    <w:rsid w:val="00842C21"/>
    <w:rsid w:val="008448F8"/>
    <w:rsid w:val="008459B7"/>
    <w:rsid w:val="008459F0"/>
    <w:rsid w:val="00846179"/>
    <w:rsid w:val="008468BC"/>
    <w:rsid w:val="00846F15"/>
    <w:rsid w:val="00847FFE"/>
    <w:rsid w:val="008517F4"/>
    <w:rsid w:val="008521FC"/>
    <w:rsid w:val="00852287"/>
    <w:rsid w:val="00853CA6"/>
    <w:rsid w:val="0085490A"/>
    <w:rsid w:val="00857808"/>
    <w:rsid w:val="00860752"/>
    <w:rsid w:val="00860F31"/>
    <w:rsid w:val="00862432"/>
    <w:rsid w:val="008636FD"/>
    <w:rsid w:val="00865A90"/>
    <w:rsid w:val="00866EB7"/>
    <w:rsid w:val="008679D0"/>
    <w:rsid w:val="00867E74"/>
    <w:rsid w:val="00870FDD"/>
    <w:rsid w:val="00871F69"/>
    <w:rsid w:val="00872227"/>
    <w:rsid w:val="00872C3D"/>
    <w:rsid w:val="00874590"/>
    <w:rsid w:val="0087574F"/>
    <w:rsid w:val="00875804"/>
    <w:rsid w:val="00877BE6"/>
    <w:rsid w:val="00877FF2"/>
    <w:rsid w:val="008805A1"/>
    <w:rsid w:val="008817F1"/>
    <w:rsid w:val="00881AD2"/>
    <w:rsid w:val="00882AC0"/>
    <w:rsid w:val="00882E50"/>
    <w:rsid w:val="00883F7F"/>
    <w:rsid w:val="008858B0"/>
    <w:rsid w:val="00886F78"/>
    <w:rsid w:val="008879EB"/>
    <w:rsid w:val="00892B76"/>
    <w:rsid w:val="00893FAC"/>
    <w:rsid w:val="00894768"/>
    <w:rsid w:val="008A2289"/>
    <w:rsid w:val="008A2E23"/>
    <w:rsid w:val="008A37BB"/>
    <w:rsid w:val="008A442B"/>
    <w:rsid w:val="008A45F3"/>
    <w:rsid w:val="008A5322"/>
    <w:rsid w:val="008A5B70"/>
    <w:rsid w:val="008A5E61"/>
    <w:rsid w:val="008A6D91"/>
    <w:rsid w:val="008A753E"/>
    <w:rsid w:val="008B074D"/>
    <w:rsid w:val="008B0C29"/>
    <w:rsid w:val="008B3815"/>
    <w:rsid w:val="008B3DDA"/>
    <w:rsid w:val="008B55FD"/>
    <w:rsid w:val="008B5EAC"/>
    <w:rsid w:val="008B5F97"/>
    <w:rsid w:val="008B601D"/>
    <w:rsid w:val="008C0121"/>
    <w:rsid w:val="008C0C9C"/>
    <w:rsid w:val="008C122E"/>
    <w:rsid w:val="008C2211"/>
    <w:rsid w:val="008C2647"/>
    <w:rsid w:val="008C2ADD"/>
    <w:rsid w:val="008C438F"/>
    <w:rsid w:val="008C5593"/>
    <w:rsid w:val="008D0265"/>
    <w:rsid w:val="008D153F"/>
    <w:rsid w:val="008D1555"/>
    <w:rsid w:val="008D2D7F"/>
    <w:rsid w:val="008D443D"/>
    <w:rsid w:val="008D51E0"/>
    <w:rsid w:val="008D57E7"/>
    <w:rsid w:val="008D6945"/>
    <w:rsid w:val="008D7B88"/>
    <w:rsid w:val="008E04AD"/>
    <w:rsid w:val="008E290E"/>
    <w:rsid w:val="008E6C60"/>
    <w:rsid w:val="008E7C0D"/>
    <w:rsid w:val="008F1166"/>
    <w:rsid w:val="008F2CCF"/>
    <w:rsid w:val="008F6821"/>
    <w:rsid w:val="00900A4B"/>
    <w:rsid w:val="009017C3"/>
    <w:rsid w:val="0090396A"/>
    <w:rsid w:val="0090427B"/>
    <w:rsid w:val="0090583E"/>
    <w:rsid w:val="009060E7"/>
    <w:rsid w:val="00914256"/>
    <w:rsid w:val="0091431F"/>
    <w:rsid w:val="00915B19"/>
    <w:rsid w:val="00917CDB"/>
    <w:rsid w:val="00920665"/>
    <w:rsid w:val="00920B23"/>
    <w:rsid w:val="009250CF"/>
    <w:rsid w:val="00925150"/>
    <w:rsid w:val="00925738"/>
    <w:rsid w:val="0093101F"/>
    <w:rsid w:val="009342D3"/>
    <w:rsid w:val="00934FE7"/>
    <w:rsid w:val="0093543C"/>
    <w:rsid w:val="009359C1"/>
    <w:rsid w:val="009409A6"/>
    <w:rsid w:val="009419E3"/>
    <w:rsid w:val="009420E4"/>
    <w:rsid w:val="00943149"/>
    <w:rsid w:val="00943980"/>
    <w:rsid w:val="0094427E"/>
    <w:rsid w:val="00944F34"/>
    <w:rsid w:val="009472B9"/>
    <w:rsid w:val="009473F3"/>
    <w:rsid w:val="0094755A"/>
    <w:rsid w:val="00952BE0"/>
    <w:rsid w:val="0095495A"/>
    <w:rsid w:val="0095503F"/>
    <w:rsid w:val="00955E2A"/>
    <w:rsid w:val="00955E31"/>
    <w:rsid w:val="009602E3"/>
    <w:rsid w:val="0096047D"/>
    <w:rsid w:val="00960834"/>
    <w:rsid w:val="009609C5"/>
    <w:rsid w:val="009613A9"/>
    <w:rsid w:val="00961834"/>
    <w:rsid w:val="0096193E"/>
    <w:rsid w:val="009630F4"/>
    <w:rsid w:val="009634A6"/>
    <w:rsid w:val="009639A2"/>
    <w:rsid w:val="00963B73"/>
    <w:rsid w:val="009643B1"/>
    <w:rsid w:val="00964ADD"/>
    <w:rsid w:val="00964E60"/>
    <w:rsid w:val="00966385"/>
    <w:rsid w:val="009669BE"/>
    <w:rsid w:val="00966C96"/>
    <w:rsid w:val="0096739A"/>
    <w:rsid w:val="00967542"/>
    <w:rsid w:val="00967548"/>
    <w:rsid w:val="00971DE9"/>
    <w:rsid w:val="00971E9A"/>
    <w:rsid w:val="009744D9"/>
    <w:rsid w:val="00974C2A"/>
    <w:rsid w:val="009752EA"/>
    <w:rsid w:val="00976D78"/>
    <w:rsid w:val="00976F18"/>
    <w:rsid w:val="00977FE8"/>
    <w:rsid w:val="00982778"/>
    <w:rsid w:val="00983223"/>
    <w:rsid w:val="00983944"/>
    <w:rsid w:val="00986D99"/>
    <w:rsid w:val="00986F32"/>
    <w:rsid w:val="0099004F"/>
    <w:rsid w:val="00990B33"/>
    <w:rsid w:val="00994A4F"/>
    <w:rsid w:val="0099521C"/>
    <w:rsid w:val="0099737F"/>
    <w:rsid w:val="009973D4"/>
    <w:rsid w:val="00997DD9"/>
    <w:rsid w:val="009A2009"/>
    <w:rsid w:val="009A394B"/>
    <w:rsid w:val="009A52DD"/>
    <w:rsid w:val="009A5DE9"/>
    <w:rsid w:val="009A6F25"/>
    <w:rsid w:val="009B1B3C"/>
    <w:rsid w:val="009B25DA"/>
    <w:rsid w:val="009B2985"/>
    <w:rsid w:val="009B5C01"/>
    <w:rsid w:val="009B6D02"/>
    <w:rsid w:val="009C10A4"/>
    <w:rsid w:val="009C11D8"/>
    <w:rsid w:val="009C21A4"/>
    <w:rsid w:val="009C66CE"/>
    <w:rsid w:val="009D0FAB"/>
    <w:rsid w:val="009D2C71"/>
    <w:rsid w:val="009D2FB4"/>
    <w:rsid w:val="009D6403"/>
    <w:rsid w:val="009D7B75"/>
    <w:rsid w:val="009E049C"/>
    <w:rsid w:val="009E0B40"/>
    <w:rsid w:val="009E0F3D"/>
    <w:rsid w:val="009E1A25"/>
    <w:rsid w:val="009E2459"/>
    <w:rsid w:val="009E2D70"/>
    <w:rsid w:val="009E3B15"/>
    <w:rsid w:val="009E5C0D"/>
    <w:rsid w:val="009F0B87"/>
    <w:rsid w:val="009F1048"/>
    <w:rsid w:val="009F285B"/>
    <w:rsid w:val="009F2EF7"/>
    <w:rsid w:val="009F46BF"/>
    <w:rsid w:val="009F544E"/>
    <w:rsid w:val="009F5F07"/>
    <w:rsid w:val="00A0053E"/>
    <w:rsid w:val="00A01CB2"/>
    <w:rsid w:val="00A0566A"/>
    <w:rsid w:val="00A06200"/>
    <w:rsid w:val="00A1047A"/>
    <w:rsid w:val="00A11328"/>
    <w:rsid w:val="00A11D9E"/>
    <w:rsid w:val="00A12032"/>
    <w:rsid w:val="00A120E7"/>
    <w:rsid w:val="00A14123"/>
    <w:rsid w:val="00A20125"/>
    <w:rsid w:val="00A20E41"/>
    <w:rsid w:val="00A23122"/>
    <w:rsid w:val="00A27439"/>
    <w:rsid w:val="00A275BC"/>
    <w:rsid w:val="00A30C36"/>
    <w:rsid w:val="00A31A7C"/>
    <w:rsid w:val="00A354B2"/>
    <w:rsid w:val="00A35FD0"/>
    <w:rsid w:val="00A362E4"/>
    <w:rsid w:val="00A36BD7"/>
    <w:rsid w:val="00A37412"/>
    <w:rsid w:val="00A375FD"/>
    <w:rsid w:val="00A4135E"/>
    <w:rsid w:val="00A41EE1"/>
    <w:rsid w:val="00A42E81"/>
    <w:rsid w:val="00A43D7D"/>
    <w:rsid w:val="00A448AF"/>
    <w:rsid w:val="00A45095"/>
    <w:rsid w:val="00A4568A"/>
    <w:rsid w:val="00A468B1"/>
    <w:rsid w:val="00A46E31"/>
    <w:rsid w:val="00A4754A"/>
    <w:rsid w:val="00A518ED"/>
    <w:rsid w:val="00A51C2B"/>
    <w:rsid w:val="00A51EDF"/>
    <w:rsid w:val="00A52D85"/>
    <w:rsid w:val="00A53FCB"/>
    <w:rsid w:val="00A55A8F"/>
    <w:rsid w:val="00A55DB2"/>
    <w:rsid w:val="00A6025E"/>
    <w:rsid w:val="00A60591"/>
    <w:rsid w:val="00A613E2"/>
    <w:rsid w:val="00A615AA"/>
    <w:rsid w:val="00A62176"/>
    <w:rsid w:val="00A63C0D"/>
    <w:rsid w:val="00A645E4"/>
    <w:rsid w:val="00A674C4"/>
    <w:rsid w:val="00A70298"/>
    <w:rsid w:val="00A74776"/>
    <w:rsid w:val="00A763C4"/>
    <w:rsid w:val="00A76560"/>
    <w:rsid w:val="00A869A7"/>
    <w:rsid w:val="00A8704B"/>
    <w:rsid w:val="00A911B3"/>
    <w:rsid w:val="00A92535"/>
    <w:rsid w:val="00A92BC4"/>
    <w:rsid w:val="00A92F81"/>
    <w:rsid w:val="00A947FF"/>
    <w:rsid w:val="00A94E60"/>
    <w:rsid w:val="00A95222"/>
    <w:rsid w:val="00A95EB5"/>
    <w:rsid w:val="00A96BD2"/>
    <w:rsid w:val="00AA057C"/>
    <w:rsid w:val="00AA24FB"/>
    <w:rsid w:val="00AA3EBE"/>
    <w:rsid w:val="00AA579D"/>
    <w:rsid w:val="00AA7228"/>
    <w:rsid w:val="00AA7D2E"/>
    <w:rsid w:val="00AA7E45"/>
    <w:rsid w:val="00AB0017"/>
    <w:rsid w:val="00AB244B"/>
    <w:rsid w:val="00AB32CB"/>
    <w:rsid w:val="00AC0077"/>
    <w:rsid w:val="00AC0C64"/>
    <w:rsid w:val="00AC100D"/>
    <w:rsid w:val="00AC1210"/>
    <w:rsid w:val="00AC1BE7"/>
    <w:rsid w:val="00AC561F"/>
    <w:rsid w:val="00AC6E2D"/>
    <w:rsid w:val="00AC74D4"/>
    <w:rsid w:val="00AD1551"/>
    <w:rsid w:val="00AD16C5"/>
    <w:rsid w:val="00AD4775"/>
    <w:rsid w:val="00AD48C0"/>
    <w:rsid w:val="00AD5E23"/>
    <w:rsid w:val="00AE057F"/>
    <w:rsid w:val="00AE0BEC"/>
    <w:rsid w:val="00AE1619"/>
    <w:rsid w:val="00AE1864"/>
    <w:rsid w:val="00AE22DE"/>
    <w:rsid w:val="00AE27DA"/>
    <w:rsid w:val="00AE4DEE"/>
    <w:rsid w:val="00AE50AB"/>
    <w:rsid w:val="00AE5FDB"/>
    <w:rsid w:val="00AE6703"/>
    <w:rsid w:val="00AE682D"/>
    <w:rsid w:val="00AE68C4"/>
    <w:rsid w:val="00AE7A9D"/>
    <w:rsid w:val="00AE7AB8"/>
    <w:rsid w:val="00AE7D07"/>
    <w:rsid w:val="00AF01E4"/>
    <w:rsid w:val="00AF0BB6"/>
    <w:rsid w:val="00AF1155"/>
    <w:rsid w:val="00AF17BF"/>
    <w:rsid w:val="00AF22CA"/>
    <w:rsid w:val="00AF3206"/>
    <w:rsid w:val="00AF367E"/>
    <w:rsid w:val="00AF410F"/>
    <w:rsid w:val="00AF5CD2"/>
    <w:rsid w:val="00AF6B4A"/>
    <w:rsid w:val="00AF6D38"/>
    <w:rsid w:val="00AF737E"/>
    <w:rsid w:val="00AF75E7"/>
    <w:rsid w:val="00B007B2"/>
    <w:rsid w:val="00B009F8"/>
    <w:rsid w:val="00B01894"/>
    <w:rsid w:val="00B03428"/>
    <w:rsid w:val="00B0438F"/>
    <w:rsid w:val="00B0603E"/>
    <w:rsid w:val="00B06290"/>
    <w:rsid w:val="00B06F08"/>
    <w:rsid w:val="00B07317"/>
    <w:rsid w:val="00B0794D"/>
    <w:rsid w:val="00B10287"/>
    <w:rsid w:val="00B11C71"/>
    <w:rsid w:val="00B11D10"/>
    <w:rsid w:val="00B14E04"/>
    <w:rsid w:val="00B15594"/>
    <w:rsid w:val="00B161E6"/>
    <w:rsid w:val="00B16253"/>
    <w:rsid w:val="00B206EA"/>
    <w:rsid w:val="00B2146B"/>
    <w:rsid w:val="00B23C33"/>
    <w:rsid w:val="00B259FD"/>
    <w:rsid w:val="00B25D31"/>
    <w:rsid w:val="00B2739A"/>
    <w:rsid w:val="00B30A6D"/>
    <w:rsid w:val="00B30E36"/>
    <w:rsid w:val="00B316E9"/>
    <w:rsid w:val="00B323B6"/>
    <w:rsid w:val="00B3350C"/>
    <w:rsid w:val="00B370A3"/>
    <w:rsid w:val="00B41CCB"/>
    <w:rsid w:val="00B4293E"/>
    <w:rsid w:val="00B42C48"/>
    <w:rsid w:val="00B42E92"/>
    <w:rsid w:val="00B43E4D"/>
    <w:rsid w:val="00B46F92"/>
    <w:rsid w:val="00B50A78"/>
    <w:rsid w:val="00B54F17"/>
    <w:rsid w:val="00B57576"/>
    <w:rsid w:val="00B6272F"/>
    <w:rsid w:val="00B62F99"/>
    <w:rsid w:val="00B63A2E"/>
    <w:rsid w:val="00B6420D"/>
    <w:rsid w:val="00B647CA"/>
    <w:rsid w:val="00B6547D"/>
    <w:rsid w:val="00B65817"/>
    <w:rsid w:val="00B665BC"/>
    <w:rsid w:val="00B70971"/>
    <w:rsid w:val="00B71D1C"/>
    <w:rsid w:val="00B733C7"/>
    <w:rsid w:val="00B7447E"/>
    <w:rsid w:val="00B7795C"/>
    <w:rsid w:val="00B77CA9"/>
    <w:rsid w:val="00B8116C"/>
    <w:rsid w:val="00B8286D"/>
    <w:rsid w:val="00B83A60"/>
    <w:rsid w:val="00B847D2"/>
    <w:rsid w:val="00B85AEA"/>
    <w:rsid w:val="00B86006"/>
    <w:rsid w:val="00B862E3"/>
    <w:rsid w:val="00B90818"/>
    <w:rsid w:val="00B90FFC"/>
    <w:rsid w:val="00B91623"/>
    <w:rsid w:val="00B9163A"/>
    <w:rsid w:val="00B97B7C"/>
    <w:rsid w:val="00B97DB1"/>
    <w:rsid w:val="00BA11E8"/>
    <w:rsid w:val="00BB00CA"/>
    <w:rsid w:val="00BB6973"/>
    <w:rsid w:val="00BB7CB2"/>
    <w:rsid w:val="00BC2147"/>
    <w:rsid w:val="00BC2215"/>
    <w:rsid w:val="00BC34DD"/>
    <w:rsid w:val="00BC3A12"/>
    <w:rsid w:val="00BC62BA"/>
    <w:rsid w:val="00BC6B1B"/>
    <w:rsid w:val="00BC7710"/>
    <w:rsid w:val="00BD0D1F"/>
    <w:rsid w:val="00BD114E"/>
    <w:rsid w:val="00BD1ABB"/>
    <w:rsid w:val="00BD227D"/>
    <w:rsid w:val="00BD2467"/>
    <w:rsid w:val="00BD2C08"/>
    <w:rsid w:val="00BD2D79"/>
    <w:rsid w:val="00BD38E9"/>
    <w:rsid w:val="00BD3F80"/>
    <w:rsid w:val="00BD4A7B"/>
    <w:rsid w:val="00BD54AF"/>
    <w:rsid w:val="00BD7DB9"/>
    <w:rsid w:val="00BE0F98"/>
    <w:rsid w:val="00BE13BD"/>
    <w:rsid w:val="00BE578C"/>
    <w:rsid w:val="00BE5B98"/>
    <w:rsid w:val="00BE6A07"/>
    <w:rsid w:val="00BE6FD0"/>
    <w:rsid w:val="00BF1226"/>
    <w:rsid w:val="00BF43CC"/>
    <w:rsid w:val="00BF47E1"/>
    <w:rsid w:val="00BF4D8D"/>
    <w:rsid w:val="00C00786"/>
    <w:rsid w:val="00C01BA6"/>
    <w:rsid w:val="00C03DB9"/>
    <w:rsid w:val="00C046BC"/>
    <w:rsid w:val="00C0556D"/>
    <w:rsid w:val="00C05704"/>
    <w:rsid w:val="00C06D48"/>
    <w:rsid w:val="00C076B0"/>
    <w:rsid w:val="00C11737"/>
    <w:rsid w:val="00C12E59"/>
    <w:rsid w:val="00C133F7"/>
    <w:rsid w:val="00C14032"/>
    <w:rsid w:val="00C174E4"/>
    <w:rsid w:val="00C17A28"/>
    <w:rsid w:val="00C20410"/>
    <w:rsid w:val="00C22A52"/>
    <w:rsid w:val="00C23BE0"/>
    <w:rsid w:val="00C25919"/>
    <w:rsid w:val="00C272D5"/>
    <w:rsid w:val="00C33998"/>
    <w:rsid w:val="00C33BEB"/>
    <w:rsid w:val="00C348D0"/>
    <w:rsid w:val="00C36C77"/>
    <w:rsid w:val="00C425FF"/>
    <w:rsid w:val="00C42717"/>
    <w:rsid w:val="00C42792"/>
    <w:rsid w:val="00C4404E"/>
    <w:rsid w:val="00C524C7"/>
    <w:rsid w:val="00C536A0"/>
    <w:rsid w:val="00C54C0D"/>
    <w:rsid w:val="00C57CF7"/>
    <w:rsid w:val="00C60F97"/>
    <w:rsid w:val="00C6218F"/>
    <w:rsid w:val="00C628B0"/>
    <w:rsid w:val="00C62DF7"/>
    <w:rsid w:val="00C630B5"/>
    <w:rsid w:val="00C640D6"/>
    <w:rsid w:val="00C648D6"/>
    <w:rsid w:val="00C64DF8"/>
    <w:rsid w:val="00C65A40"/>
    <w:rsid w:val="00C669F6"/>
    <w:rsid w:val="00C67852"/>
    <w:rsid w:val="00C715FC"/>
    <w:rsid w:val="00C71FE1"/>
    <w:rsid w:val="00C72890"/>
    <w:rsid w:val="00C728A7"/>
    <w:rsid w:val="00C72BAB"/>
    <w:rsid w:val="00C740E4"/>
    <w:rsid w:val="00C8407F"/>
    <w:rsid w:val="00C847F4"/>
    <w:rsid w:val="00C85AC2"/>
    <w:rsid w:val="00C862F7"/>
    <w:rsid w:val="00C90888"/>
    <w:rsid w:val="00C91931"/>
    <w:rsid w:val="00C938BF"/>
    <w:rsid w:val="00C9480E"/>
    <w:rsid w:val="00C94FB9"/>
    <w:rsid w:val="00C956AF"/>
    <w:rsid w:val="00C97A18"/>
    <w:rsid w:val="00CA2F52"/>
    <w:rsid w:val="00CA3652"/>
    <w:rsid w:val="00CA40E3"/>
    <w:rsid w:val="00CA4DAF"/>
    <w:rsid w:val="00CA4F04"/>
    <w:rsid w:val="00CA650E"/>
    <w:rsid w:val="00CB015B"/>
    <w:rsid w:val="00CB0629"/>
    <w:rsid w:val="00CB07F1"/>
    <w:rsid w:val="00CB275C"/>
    <w:rsid w:val="00CB39FA"/>
    <w:rsid w:val="00CB41A4"/>
    <w:rsid w:val="00CB6766"/>
    <w:rsid w:val="00CB6BDB"/>
    <w:rsid w:val="00CB7782"/>
    <w:rsid w:val="00CC0464"/>
    <w:rsid w:val="00CC05F5"/>
    <w:rsid w:val="00CC143E"/>
    <w:rsid w:val="00CC209E"/>
    <w:rsid w:val="00CC35C6"/>
    <w:rsid w:val="00CC3791"/>
    <w:rsid w:val="00CC489C"/>
    <w:rsid w:val="00CC5A38"/>
    <w:rsid w:val="00CC5C07"/>
    <w:rsid w:val="00CC7001"/>
    <w:rsid w:val="00CD2110"/>
    <w:rsid w:val="00CD3D56"/>
    <w:rsid w:val="00CD45B5"/>
    <w:rsid w:val="00CD571D"/>
    <w:rsid w:val="00CD64DC"/>
    <w:rsid w:val="00CE0734"/>
    <w:rsid w:val="00CE09D9"/>
    <w:rsid w:val="00CE48B1"/>
    <w:rsid w:val="00CE498C"/>
    <w:rsid w:val="00CE58AF"/>
    <w:rsid w:val="00CE5CC4"/>
    <w:rsid w:val="00CE5DCD"/>
    <w:rsid w:val="00CE720F"/>
    <w:rsid w:val="00CE7AD1"/>
    <w:rsid w:val="00CF0106"/>
    <w:rsid w:val="00CF136E"/>
    <w:rsid w:val="00CF310B"/>
    <w:rsid w:val="00CF38C5"/>
    <w:rsid w:val="00CF497D"/>
    <w:rsid w:val="00CF4CD3"/>
    <w:rsid w:val="00CF562C"/>
    <w:rsid w:val="00CF6A1A"/>
    <w:rsid w:val="00D009B3"/>
    <w:rsid w:val="00D00D7B"/>
    <w:rsid w:val="00D0195D"/>
    <w:rsid w:val="00D07034"/>
    <w:rsid w:val="00D103ED"/>
    <w:rsid w:val="00D10435"/>
    <w:rsid w:val="00D12D83"/>
    <w:rsid w:val="00D153B2"/>
    <w:rsid w:val="00D1546F"/>
    <w:rsid w:val="00D164B9"/>
    <w:rsid w:val="00D169FE"/>
    <w:rsid w:val="00D17059"/>
    <w:rsid w:val="00D17132"/>
    <w:rsid w:val="00D20A45"/>
    <w:rsid w:val="00D21D28"/>
    <w:rsid w:val="00D22A5B"/>
    <w:rsid w:val="00D2514F"/>
    <w:rsid w:val="00D255FF"/>
    <w:rsid w:val="00D2638C"/>
    <w:rsid w:val="00D27754"/>
    <w:rsid w:val="00D31628"/>
    <w:rsid w:val="00D33459"/>
    <w:rsid w:val="00D33BCD"/>
    <w:rsid w:val="00D34907"/>
    <w:rsid w:val="00D35342"/>
    <w:rsid w:val="00D376B5"/>
    <w:rsid w:val="00D415B0"/>
    <w:rsid w:val="00D420EE"/>
    <w:rsid w:val="00D433C9"/>
    <w:rsid w:val="00D43F64"/>
    <w:rsid w:val="00D44140"/>
    <w:rsid w:val="00D45EB9"/>
    <w:rsid w:val="00D47D84"/>
    <w:rsid w:val="00D51C1F"/>
    <w:rsid w:val="00D5228F"/>
    <w:rsid w:val="00D5407C"/>
    <w:rsid w:val="00D541DD"/>
    <w:rsid w:val="00D54E33"/>
    <w:rsid w:val="00D6035C"/>
    <w:rsid w:val="00D60D03"/>
    <w:rsid w:val="00D61907"/>
    <w:rsid w:val="00D62A87"/>
    <w:rsid w:val="00D62E30"/>
    <w:rsid w:val="00D649E3"/>
    <w:rsid w:val="00D66143"/>
    <w:rsid w:val="00D705CE"/>
    <w:rsid w:val="00D7061B"/>
    <w:rsid w:val="00D70B78"/>
    <w:rsid w:val="00D70FAE"/>
    <w:rsid w:val="00D72C6B"/>
    <w:rsid w:val="00D7312B"/>
    <w:rsid w:val="00D745CB"/>
    <w:rsid w:val="00D74F03"/>
    <w:rsid w:val="00D806E3"/>
    <w:rsid w:val="00D82874"/>
    <w:rsid w:val="00D839A5"/>
    <w:rsid w:val="00D83FEA"/>
    <w:rsid w:val="00D85884"/>
    <w:rsid w:val="00D85CDE"/>
    <w:rsid w:val="00D91730"/>
    <w:rsid w:val="00D9180B"/>
    <w:rsid w:val="00D965FF"/>
    <w:rsid w:val="00D97557"/>
    <w:rsid w:val="00DA053F"/>
    <w:rsid w:val="00DA1226"/>
    <w:rsid w:val="00DA142D"/>
    <w:rsid w:val="00DA2319"/>
    <w:rsid w:val="00DA2CD8"/>
    <w:rsid w:val="00DA2D54"/>
    <w:rsid w:val="00DA2D8B"/>
    <w:rsid w:val="00DA308F"/>
    <w:rsid w:val="00DA333F"/>
    <w:rsid w:val="00DA53B8"/>
    <w:rsid w:val="00DA5FA0"/>
    <w:rsid w:val="00DA71FF"/>
    <w:rsid w:val="00DB14D1"/>
    <w:rsid w:val="00DB1A57"/>
    <w:rsid w:val="00DB2FD5"/>
    <w:rsid w:val="00DB4D38"/>
    <w:rsid w:val="00DB6357"/>
    <w:rsid w:val="00DB6BAD"/>
    <w:rsid w:val="00DB6F99"/>
    <w:rsid w:val="00DC010A"/>
    <w:rsid w:val="00DC14E1"/>
    <w:rsid w:val="00DC297F"/>
    <w:rsid w:val="00DC3D73"/>
    <w:rsid w:val="00DC4394"/>
    <w:rsid w:val="00DC4A3F"/>
    <w:rsid w:val="00DC51C7"/>
    <w:rsid w:val="00DC71A6"/>
    <w:rsid w:val="00DD0B1C"/>
    <w:rsid w:val="00DD11DB"/>
    <w:rsid w:val="00DD18C8"/>
    <w:rsid w:val="00DD36D6"/>
    <w:rsid w:val="00DD4F96"/>
    <w:rsid w:val="00DD65F6"/>
    <w:rsid w:val="00DE0533"/>
    <w:rsid w:val="00DE05A4"/>
    <w:rsid w:val="00DE562F"/>
    <w:rsid w:val="00DF1BDE"/>
    <w:rsid w:val="00DF2299"/>
    <w:rsid w:val="00DF24E0"/>
    <w:rsid w:val="00DF4EBF"/>
    <w:rsid w:val="00DF5616"/>
    <w:rsid w:val="00DF57D4"/>
    <w:rsid w:val="00E01C4A"/>
    <w:rsid w:val="00E03363"/>
    <w:rsid w:val="00E04B09"/>
    <w:rsid w:val="00E056A0"/>
    <w:rsid w:val="00E060A4"/>
    <w:rsid w:val="00E06577"/>
    <w:rsid w:val="00E06719"/>
    <w:rsid w:val="00E06A1F"/>
    <w:rsid w:val="00E06D74"/>
    <w:rsid w:val="00E109D1"/>
    <w:rsid w:val="00E11173"/>
    <w:rsid w:val="00E1177E"/>
    <w:rsid w:val="00E1372A"/>
    <w:rsid w:val="00E14E6F"/>
    <w:rsid w:val="00E1699B"/>
    <w:rsid w:val="00E16A49"/>
    <w:rsid w:val="00E17A17"/>
    <w:rsid w:val="00E202BA"/>
    <w:rsid w:val="00E23886"/>
    <w:rsid w:val="00E24CF3"/>
    <w:rsid w:val="00E257C8"/>
    <w:rsid w:val="00E2602E"/>
    <w:rsid w:val="00E31A65"/>
    <w:rsid w:val="00E332FE"/>
    <w:rsid w:val="00E337A2"/>
    <w:rsid w:val="00E34A18"/>
    <w:rsid w:val="00E36DCB"/>
    <w:rsid w:val="00E377FA"/>
    <w:rsid w:val="00E410D4"/>
    <w:rsid w:val="00E41197"/>
    <w:rsid w:val="00E4236E"/>
    <w:rsid w:val="00E46F9A"/>
    <w:rsid w:val="00E475EB"/>
    <w:rsid w:val="00E47ABA"/>
    <w:rsid w:val="00E50D4E"/>
    <w:rsid w:val="00E53BF5"/>
    <w:rsid w:val="00E607BF"/>
    <w:rsid w:val="00E61A1B"/>
    <w:rsid w:val="00E62D1A"/>
    <w:rsid w:val="00E62FF0"/>
    <w:rsid w:val="00E633B2"/>
    <w:rsid w:val="00E6420F"/>
    <w:rsid w:val="00E65014"/>
    <w:rsid w:val="00E661AD"/>
    <w:rsid w:val="00E6624F"/>
    <w:rsid w:val="00E66A19"/>
    <w:rsid w:val="00E66E2D"/>
    <w:rsid w:val="00E67813"/>
    <w:rsid w:val="00E67B47"/>
    <w:rsid w:val="00E70261"/>
    <w:rsid w:val="00E71413"/>
    <w:rsid w:val="00E71B4C"/>
    <w:rsid w:val="00E71F6D"/>
    <w:rsid w:val="00E73A78"/>
    <w:rsid w:val="00E73E04"/>
    <w:rsid w:val="00E74760"/>
    <w:rsid w:val="00E767B5"/>
    <w:rsid w:val="00E76B46"/>
    <w:rsid w:val="00E77722"/>
    <w:rsid w:val="00E821D1"/>
    <w:rsid w:val="00E842FD"/>
    <w:rsid w:val="00E84BA8"/>
    <w:rsid w:val="00E8671B"/>
    <w:rsid w:val="00E91109"/>
    <w:rsid w:val="00E91272"/>
    <w:rsid w:val="00E912B2"/>
    <w:rsid w:val="00E91777"/>
    <w:rsid w:val="00E921FF"/>
    <w:rsid w:val="00E923F3"/>
    <w:rsid w:val="00E92A1B"/>
    <w:rsid w:val="00E93658"/>
    <w:rsid w:val="00E94741"/>
    <w:rsid w:val="00E94EFB"/>
    <w:rsid w:val="00E96E1F"/>
    <w:rsid w:val="00EA1027"/>
    <w:rsid w:val="00EA2F85"/>
    <w:rsid w:val="00EA34FE"/>
    <w:rsid w:val="00EA5814"/>
    <w:rsid w:val="00EA607A"/>
    <w:rsid w:val="00EA6945"/>
    <w:rsid w:val="00EA7BE5"/>
    <w:rsid w:val="00EB09B2"/>
    <w:rsid w:val="00EB366A"/>
    <w:rsid w:val="00EB3953"/>
    <w:rsid w:val="00EB7664"/>
    <w:rsid w:val="00EB7840"/>
    <w:rsid w:val="00EB7A91"/>
    <w:rsid w:val="00EC1DD7"/>
    <w:rsid w:val="00EC299B"/>
    <w:rsid w:val="00EC29E8"/>
    <w:rsid w:val="00EC3095"/>
    <w:rsid w:val="00EC4E50"/>
    <w:rsid w:val="00EC63CC"/>
    <w:rsid w:val="00EC6470"/>
    <w:rsid w:val="00EC7147"/>
    <w:rsid w:val="00EC7BD0"/>
    <w:rsid w:val="00ED0362"/>
    <w:rsid w:val="00ED03A5"/>
    <w:rsid w:val="00ED2474"/>
    <w:rsid w:val="00ED3954"/>
    <w:rsid w:val="00ED4ED5"/>
    <w:rsid w:val="00ED67FB"/>
    <w:rsid w:val="00EE0EDA"/>
    <w:rsid w:val="00EE140C"/>
    <w:rsid w:val="00EE1AE9"/>
    <w:rsid w:val="00EE2EE0"/>
    <w:rsid w:val="00EE6167"/>
    <w:rsid w:val="00EF0127"/>
    <w:rsid w:val="00EF2AB6"/>
    <w:rsid w:val="00EF2C35"/>
    <w:rsid w:val="00EF41F6"/>
    <w:rsid w:val="00F0002A"/>
    <w:rsid w:val="00F00EE9"/>
    <w:rsid w:val="00F026F5"/>
    <w:rsid w:val="00F02875"/>
    <w:rsid w:val="00F0529C"/>
    <w:rsid w:val="00F057C1"/>
    <w:rsid w:val="00F067CB"/>
    <w:rsid w:val="00F10BFC"/>
    <w:rsid w:val="00F139F4"/>
    <w:rsid w:val="00F13AB7"/>
    <w:rsid w:val="00F17DA7"/>
    <w:rsid w:val="00F214E1"/>
    <w:rsid w:val="00F21A0A"/>
    <w:rsid w:val="00F21B07"/>
    <w:rsid w:val="00F22144"/>
    <w:rsid w:val="00F22CC3"/>
    <w:rsid w:val="00F23297"/>
    <w:rsid w:val="00F24C1D"/>
    <w:rsid w:val="00F25BB3"/>
    <w:rsid w:val="00F31526"/>
    <w:rsid w:val="00F31ED5"/>
    <w:rsid w:val="00F34408"/>
    <w:rsid w:val="00F35BDC"/>
    <w:rsid w:val="00F36F51"/>
    <w:rsid w:val="00F41180"/>
    <w:rsid w:val="00F42E0A"/>
    <w:rsid w:val="00F43120"/>
    <w:rsid w:val="00F46533"/>
    <w:rsid w:val="00F4792C"/>
    <w:rsid w:val="00F47CA4"/>
    <w:rsid w:val="00F50849"/>
    <w:rsid w:val="00F508D1"/>
    <w:rsid w:val="00F512DF"/>
    <w:rsid w:val="00F51932"/>
    <w:rsid w:val="00F52754"/>
    <w:rsid w:val="00F52AF1"/>
    <w:rsid w:val="00F52BD9"/>
    <w:rsid w:val="00F56442"/>
    <w:rsid w:val="00F5671E"/>
    <w:rsid w:val="00F5755F"/>
    <w:rsid w:val="00F57F9D"/>
    <w:rsid w:val="00F61207"/>
    <w:rsid w:val="00F617DD"/>
    <w:rsid w:val="00F632FF"/>
    <w:rsid w:val="00F65105"/>
    <w:rsid w:val="00F65E71"/>
    <w:rsid w:val="00F70D99"/>
    <w:rsid w:val="00F72A16"/>
    <w:rsid w:val="00F7465A"/>
    <w:rsid w:val="00F771DD"/>
    <w:rsid w:val="00F81EE5"/>
    <w:rsid w:val="00F83CBC"/>
    <w:rsid w:val="00F84A0C"/>
    <w:rsid w:val="00F84A24"/>
    <w:rsid w:val="00F850DB"/>
    <w:rsid w:val="00F85C79"/>
    <w:rsid w:val="00F87A1B"/>
    <w:rsid w:val="00F91072"/>
    <w:rsid w:val="00F945A0"/>
    <w:rsid w:val="00FA36FA"/>
    <w:rsid w:val="00FA558F"/>
    <w:rsid w:val="00FA5741"/>
    <w:rsid w:val="00FA5ABD"/>
    <w:rsid w:val="00FA6FAA"/>
    <w:rsid w:val="00FB1DC5"/>
    <w:rsid w:val="00FB1E8A"/>
    <w:rsid w:val="00FB29ED"/>
    <w:rsid w:val="00FB2BEE"/>
    <w:rsid w:val="00FB2C15"/>
    <w:rsid w:val="00FB46EA"/>
    <w:rsid w:val="00FB524B"/>
    <w:rsid w:val="00FB5EE4"/>
    <w:rsid w:val="00FC401B"/>
    <w:rsid w:val="00FC44B5"/>
    <w:rsid w:val="00FC4648"/>
    <w:rsid w:val="00FC5174"/>
    <w:rsid w:val="00FD168E"/>
    <w:rsid w:val="00FD2355"/>
    <w:rsid w:val="00FD26A7"/>
    <w:rsid w:val="00FD5240"/>
    <w:rsid w:val="00FD5786"/>
    <w:rsid w:val="00FD6209"/>
    <w:rsid w:val="00FE19CF"/>
    <w:rsid w:val="00FE19F0"/>
    <w:rsid w:val="00FE3F97"/>
    <w:rsid w:val="00FF029A"/>
    <w:rsid w:val="00FF10CC"/>
    <w:rsid w:val="00FF1BB8"/>
    <w:rsid w:val="00FF2670"/>
    <w:rsid w:val="00FF27D2"/>
    <w:rsid w:val="00FF283A"/>
    <w:rsid w:val="00FF3784"/>
    <w:rsid w:val="00FF3CAA"/>
    <w:rsid w:val="00FF49B9"/>
    <w:rsid w:val="00FF59CC"/>
    <w:rsid w:val="00FF5E36"/>
    <w:rsid w:val="0836763F"/>
    <w:rsid w:val="0A962F74"/>
    <w:rsid w:val="0CE35BBA"/>
    <w:rsid w:val="0FDD199B"/>
    <w:rsid w:val="12F81903"/>
    <w:rsid w:val="13BE2242"/>
    <w:rsid w:val="14BA4D71"/>
    <w:rsid w:val="16D236C0"/>
    <w:rsid w:val="171259CE"/>
    <w:rsid w:val="190224C3"/>
    <w:rsid w:val="1CF5746D"/>
    <w:rsid w:val="216E1AB4"/>
    <w:rsid w:val="230044D8"/>
    <w:rsid w:val="24CB2CF2"/>
    <w:rsid w:val="24FF0FB2"/>
    <w:rsid w:val="2A6352F7"/>
    <w:rsid w:val="2AC3685C"/>
    <w:rsid w:val="2AD56F10"/>
    <w:rsid w:val="2D1021F4"/>
    <w:rsid w:val="2D2233B0"/>
    <w:rsid w:val="311F0499"/>
    <w:rsid w:val="314F4B33"/>
    <w:rsid w:val="35077730"/>
    <w:rsid w:val="377977F1"/>
    <w:rsid w:val="3934620B"/>
    <w:rsid w:val="3D483469"/>
    <w:rsid w:val="3EAF3F64"/>
    <w:rsid w:val="41D334B9"/>
    <w:rsid w:val="436818EC"/>
    <w:rsid w:val="43866B3D"/>
    <w:rsid w:val="438943E3"/>
    <w:rsid w:val="43B2652B"/>
    <w:rsid w:val="43BF4744"/>
    <w:rsid w:val="46417121"/>
    <w:rsid w:val="499A7211"/>
    <w:rsid w:val="4B4873BD"/>
    <w:rsid w:val="5053736A"/>
    <w:rsid w:val="52C931A5"/>
    <w:rsid w:val="5C2134BE"/>
    <w:rsid w:val="61B56926"/>
    <w:rsid w:val="66001E4D"/>
    <w:rsid w:val="6697761D"/>
    <w:rsid w:val="698C7691"/>
    <w:rsid w:val="6A352AF9"/>
    <w:rsid w:val="6E0155B8"/>
    <w:rsid w:val="6F61066A"/>
    <w:rsid w:val="741162A8"/>
    <w:rsid w:val="763525C9"/>
    <w:rsid w:val="76857B3A"/>
    <w:rsid w:val="7C1458AD"/>
    <w:rsid w:val="7C2903EF"/>
    <w:rsid w:val="7EF02A1D"/>
    <w:rsid w:val="7F1A49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39" w:semiHidden="0" w:name="toc 1"/>
    <w:lsdException w:unhideWhenUsed="0" w:uiPriority="39" w:semiHidden="0" w:name="toc 2"/>
    <w:lsdException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0"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09"/>
    <w:qFormat/>
    <w:uiPriority w:val="0"/>
    <w:pPr>
      <w:keepNext/>
      <w:widowControl/>
      <w:numPr>
        <w:ilvl w:val="0"/>
        <w:numId w:val="1"/>
      </w:numPr>
      <w:jc w:val="center"/>
      <w:outlineLvl w:val="0"/>
    </w:pPr>
    <w:rPr>
      <w:rFonts w:ascii="黑体" w:eastAsia="黑体"/>
      <w:kern w:val="0"/>
      <w:sz w:val="52"/>
      <w:szCs w:val="20"/>
    </w:rPr>
  </w:style>
  <w:style w:type="paragraph" w:styleId="3">
    <w:name w:val="heading 2"/>
    <w:basedOn w:val="1"/>
    <w:next w:val="4"/>
    <w:link w:val="58"/>
    <w:qFormat/>
    <w:uiPriority w:val="0"/>
    <w:pPr>
      <w:keepNext/>
      <w:keepLines/>
      <w:widowControl/>
      <w:spacing w:before="260" w:after="260" w:line="415" w:lineRule="auto"/>
      <w:jc w:val="center"/>
      <w:outlineLvl w:val="1"/>
    </w:pPr>
    <w:rPr>
      <w:rFonts w:ascii="Arial" w:hAnsi="Arial" w:eastAsia="黑体"/>
      <w:b/>
      <w:kern w:val="0"/>
      <w:sz w:val="36"/>
      <w:szCs w:val="20"/>
    </w:rPr>
  </w:style>
  <w:style w:type="paragraph" w:styleId="5">
    <w:name w:val="heading 3"/>
    <w:basedOn w:val="1"/>
    <w:next w:val="4"/>
    <w:link w:val="142"/>
    <w:qFormat/>
    <w:uiPriority w:val="0"/>
    <w:pPr>
      <w:keepNext/>
      <w:keepLines/>
      <w:widowControl/>
      <w:numPr>
        <w:ilvl w:val="2"/>
        <w:numId w:val="1"/>
      </w:numPr>
      <w:spacing w:before="120" w:after="120" w:line="360" w:lineRule="auto"/>
      <w:jc w:val="center"/>
      <w:outlineLvl w:val="2"/>
    </w:pPr>
    <w:rPr>
      <w:b/>
      <w:kern w:val="0"/>
      <w:sz w:val="32"/>
      <w:szCs w:val="20"/>
    </w:rPr>
  </w:style>
  <w:style w:type="paragraph" w:styleId="6">
    <w:name w:val="heading 4"/>
    <w:basedOn w:val="1"/>
    <w:next w:val="1"/>
    <w:link w:val="132"/>
    <w:qFormat/>
    <w:uiPriority w:val="0"/>
    <w:pPr>
      <w:keepNext/>
      <w:keepLines/>
      <w:widowControl/>
      <w:spacing w:before="120" w:after="120" w:line="360" w:lineRule="auto"/>
      <w:jc w:val="center"/>
      <w:outlineLvl w:val="3"/>
    </w:pPr>
    <w:rPr>
      <w:rFonts w:ascii="Arial" w:hAnsi="Arial" w:eastAsia="黑体"/>
      <w:kern w:val="0"/>
      <w:sz w:val="28"/>
      <w:szCs w:val="20"/>
    </w:rPr>
  </w:style>
  <w:style w:type="paragraph" w:styleId="7">
    <w:name w:val="heading 5"/>
    <w:basedOn w:val="1"/>
    <w:next w:val="1"/>
    <w:link w:val="94"/>
    <w:qFormat/>
    <w:uiPriority w:val="0"/>
    <w:pPr>
      <w:keepNext/>
      <w:keepLines/>
      <w:widowControl/>
      <w:spacing w:before="120" w:after="120" w:line="360" w:lineRule="auto"/>
      <w:ind w:firstLine="499"/>
      <w:jc w:val="left"/>
      <w:outlineLvl w:val="4"/>
    </w:pPr>
    <w:rPr>
      <w:rFonts w:ascii="宋体" w:hAnsi="宋体"/>
      <w:b/>
      <w:kern w:val="0"/>
      <w:sz w:val="24"/>
      <w:szCs w:val="20"/>
    </w:rPr>
  </w:style>
  <w:style w:type="paragraph" w:styleId="8">
    <w:name w:val="heading 6"/>
    <w:basedOn w:val="1"/>
    <w:next w:val="1"/>
    <w:link w:val="101"/>
    <w:qFormat/>
    <w:uiPriority w:val="0"/>
    <w:pPr>
      <w:keepNext/>
      <w:keepLines/>
      <w:widowControl/>
      <w:numPr>
        <w:ilvl w:val="5"/>
        <w:numId w:val="1"/>
      </w:numPr>
      <w:spacing w:before="240" w:after="64" w:line="320" w:lineRule="auto"/>
      <w:jc w:val="left"/>
      <w:outlineLvl w:val="5"/>
    </w:pPr>
    <w:rPr>
      <w:rFonts w:ascii="Arial" w:hAnsi="Arial" w:eastAsia="黑体"/>
      <w:b/>
      <w:bCs/>
      <w:kern w:val="0"/>
      <w:sz w:val="24"/>
    </w:rPr>
  </w:style>
  <w:style w:type="paragraph" w:styleId="9">
    <w:name w:val="heading 7"/>
    <w:basedOn w:val="1"/>
    <w:next w:val="1"/>
    <w:link w:val="145"/>
    <w:qFormat/>
    <w:uiPriority w:val="0"/>
    <w:pPr>
      <w:keepNext/>
      <w:keepLines/>
      <w:widowControl/>
      <w:numPr>
        <w:ilvl w:val="6"/>
        <w:numId w:val="1"/>
      </w:numPr>
      <w:spacing w:before="240" w:after="64" w:line="320" w:lineRule="auto"/>
      <w:jc w:val="left"/>
      <w:outlineLvl w:val="6"/>
    </w:pPr>
    <w:rPr>
      <w:b/>
      <w:bCs/>
      <w:kern w:val="0"/>
      <w:sz w:val="24"/>
    </w:rPr>
  </w:style>
  <w:style w:type="paragraph" w:styleId="10">
    <w:name w:val="heading 8"/>
    <w:basedOn w:val="1"/>
    <w:next w:val="1"/>
    <w:link w:val="151"/>
    <w:qFormat/>
    <w:uiPriority w:val="0"/>
    <w:pPr>
      <w:keepNext/>
      <w:keepLines/>
      <w:widowControl/>
      <w:numPr>
        <w:ilvl w:val="7"/>
        <w:numId w:val="1"/>
      </w:numPr>
      <w:spacing w:before="240" w:after="64" w:line="320" w:lineRule="auto"/>
      <w:jc w:val="left"/>
      <w:outlineLvl w:val="7"/>
    </w:pPr>
    <w:rPr>
      <w:rFonts w:ascii="Arial" w:hAnsi="Arial" w:eastAsia="黑体"/>
      <w:kern w:val="0"/>
      <w:sz w:val="24"/>
    </w:rPr>
  </w:style>
  <w:style w:type="paragraph" w:styleId="11">
    <w:name w:val="heading 9"/>
    <w:basedOn w:val="1"/>
    <w:next w:val="1"/>
    <w:link w:val="65"/>
    <w:qFormat/>
    <w:uiPriority w:val="0"/>
    <w:pPr>
      <w:keepNext/>
      <w:keepLines/>
      <w:widowControl/>
      <w:numPr>
        <w:ilvl w:val="8"/>
        <w:numId w:val="1"/>
      </w:numPr>
      <w:spacing w:before="240" w:after="64" w:line="320" w:lineRule="auto"/>
      <w:jc w:val="left"/>
      <w:outlineLvl w:val="8"/>
    </w:pPr>
    <w:rPr>
      <w:rFonts w:ascii="Arial" w:hAnsi="Arial" w:eastAsia="黑体"/>
      <w:kern w:val="0"/>
      <w:szCs w:val="21"/>
    </w:rPr>
  </w:style>
  <w:style w:type="character" w:default="1" w:styleId="50">
    <w:name w:val="Default Paragraph Font"/>
    <w:semiHidden/>
    <w:unhideWhenUsed/>
    <w:uiPriority w:val="1"/>
  </w:style>
  <w:style w:type="table" w:default="1" w:styleId="48">
    <w:name w:val="Normal Table"/>
    <w:semiHidden/>
    <w:unhideWhenUsed/>
    <w:qFormat/>
    <w:uiPriority w:val="99"/>
    <w:tblPr>
      <w:tblCellMar>
        <w:top w:w="0" w:type="dxa"/>
        <w:left w:w="108" w:type="dxa"/>
        <w:bottom w:w="0" w:type="dxa"/>
        <w:right w:w="108" w:type="dxa"/>
      </w:tblCellMar>
    </w:tblPr>
  </w:style>
  <w:style w:type="paragraph" w:styleId="4">
    <w:name w:val="Normal Indent"/>
    <w:basedOn w:val="1"/>
    <w:link w:val="61"/>
    <w:qFormat/>
    <w:uiPriority w:val="0"/>
    <w:pPr>
      <w:ind w:firstLine="420" w:firstLineChars="200"/>
    </w:pPr>
  </w:style>
  <w:style w:type="paragraph" w:styleId="12">
    <w:name w:val="toc 7"/>
    <w:basedOn w:val="1"/>
    <w:next w:val="1"/>
    <w:uiPriority w:val="0"/>
    <w:pPr>
      <w:ind w:left="1050"/>
      <w:jc w:val="left"/>
    </w:pPr>
    <w:rPr>
      <w:rFonts w:ascii="Calibri" w:hAnsi="Calibri" w:cs="Calibri"/>
      <w:sz w:val="20"/>
      <w:szCs w:val="20"/>
    </w:rPr>
  </w:style>
  <w:style w:type="paragraph" w:styleId="13">
    <w:name w:val="caption"/>
    <w:basedOn w:val="1"/>
    <w:next w:val="1"/>
    <w:qFormat/>
    <w:uiPriority w:val="0"/>
    <w:rPr>
      <w:rFonts w:ascii="Cambria" w:hAnsi="Cambria" w:eastAsia="黑体"/>
      <w:sz w:val="20"/>
      <w:szCs w:val="20"/>
    </w:rPr>
  </w:style>
  <w:style w:type="paragraph" w:styleId="14">
    <w:name w:val="Document Map"/>
    <w:basedOn w:val="1"/>
    <w:link w:val="111"/>
    <w:uiPriority w:val="0"/>
    <w:pPr>
      <w:shd w:val="clear" w:color="auto" w:fill="000080"/>
    </w:pPr>
  </w:style>
  <w:style w:type="paragraph" w:styleId="15">
    <w:name w:val="annotation text"/>
    <w:basedOn w:val="1"/>
    <w:link w:val="69"/>
    <w:qFormat/>
    <w:uiPriority w:val="0"/>
    <w:pPr>
      <w:adjustRightInd w:val="0"/>
      <w:spacing w:line="360" w:lineRule="atLeast"/>
      <w:jc w:val="left"/>
      <w:textAlignment w:val="baseline"/>
    </w:pPr>
    <w:rPr>
      <w:kern w:val="0"/>
      <w:sz w:val="24"/>
      <w:szCs w:val="20"/>
    </w:rPr>
  </w:style>
  <w:style w:type="paragraph" w:styleId="16">
    <w:name w:val="Salutation"/>
    <w:basedOn w:val="1"/>
    <w:next w:val="1"/>
    <w:link w:val="146"/>
    <w:uiPriority w:val="0"/>
    <w:rPr>
      <w:rFonts w:ascii="仿宋_GB2312" w:eastAsia="仿宋_GB2312"/>
      <w:sz w:val="28"/>
      <w:szCs w:val="20"/>
    </w:rPr>
  </w:style>
  <w:style w:type="paragraph" w:styleId="17">
    <w:name w:val="Body Text 3"/>
    <w:basedOn w:val="1"/>
    <w:uiPriority w:val="0"/>
    <w:pPr>
      <w:spacing w:after="120"/>
    </w:pPr>
    <w:rPr>
      <w:sz w:val="16"/>
      <w:szCs w:val="16"/>
    </w:rPr>
  </w:style>
  <w:style w:type="paragraph" w:styleId="18">
    <w:name w:val="Body Text"/>
    <w:basedOn w:val="1"/>
    <w:link w:val="68"/>
    <w:qFormat/>
    <w:uiPriority w:val="0"/>
    <w:pPr>
      <w:spacing w:after="120"/>
    </w:pPr>
  </w:style>
  <w:style w:type="paragraph" w:styleId="19">
    <w:name w:val="Body Text Indent"/>
    <w:basedOn w:val="1"/>
    <w:link w:val="122"/>
    <w:qFormat/>
    <w:uiPriority w:val="0"/>
    <w:pPr>
      <w:spacing w:after="120"/>
      <w:ind w:left="420" w:leftChars="200"/>
    </w:pPr>
  </w:style>
  <w:style w:type="paragraph" w:styleId="20">
    <w:name w:val="List 2"/>
    <w:basedOn w:val="1"/>
    <w:qFormat/>
    <w:uiPriority w:val="0"/>
    <w:pPr>
      <w:ind w:left="100" w:leftChars="200" w:hanging="200" w:hangingChars="200"/>
    </w:pPr>
  </w:style>
  <w:style w:type="paragraph" w:styleId="21">
    <w:name w:val="List Continue"/>
    <w:basedOn w:val="1"/>
    <w:qFormat/>
    <w:uiPriority w:val="0"/>
    <w:pPr>
      <w:spacing w:after="120"/>
      <w:ind w:left="420" w:leftChars="200"/>
    </w:pPr>
  </w:style>
  <w:style w:type="paragraph" w:styleId="22">
    <w:name w:val="Block Text"/>
    <w:basedOn w:val="1"/>
    <w:uiPriority w:val="0"/>
    <w:pPr>
      <w:spacing w:line="480" w:lineRule="exact"/>
      <w:ind w:left="228" w:leftChars="228" w:right="32"/>
    </w:pPr>
    <w:rPr>
      <w:sz w:val="24"/>
    </w:rPr>
  </w:style>
  <w:style w:type="paragraph" w:styleId="23">
    <w:name w:val="index 4"/>
    <w:basedOn w:val="1"/>
    <w:next w:val="1"/>
    <w:uiPriority w:val="0"/>
    <w:pPr>
      <w:ind w:left="600" w:leftChars="600"/>
    </w:pPr>
  </w:style>
  <w:style w:type="paragraph" w:styleId="24">
    <w:name w:val="toc 5"/>
    <w:basedOn w:val="1"/>
    <w:next w:val="1"/>
    <w:uiPriority w:val="0"/>
    <w:pPr>
      <w:ind w:left="630"/>
      <w:jc w:val="left"/>
    </w:pPr>
    <w:rPr>
      <w:rFonts w:ascii="Calibri" w:hAnsi="Calibri" w:cs="Calibri"/>
      <w:sz w:val="20"/>
      <w:szCs w:val="20"/>
    </w:rPr>
  </w:style>
  <w:style w:type="paragraph" w:styleId="25">
    <w:name w:val="toc 3"/>
    <w:basedOn w:val="1"/>
    <w:next w:val="1"/>
    <w:uiPriority w:val="39"/>
    <w:pPr>
      <w:ind w:left="210"/>
      <w:jc w:val="left"/>
    </w:pPr>
    <w:rPr>
      <w:rFonts w:ascii="Calibri" w:hAnsi="Calibri" w:cs="Calibri"/>
      <w:sz w:val="20"/>
      <w:szCs w:val="20"/>
    </w:rPr>
  </w:style>
  <w:style w:type="paragraph" w:styleId="26">
    <w:name w:val="Plain Text"/>
    <w:basedOn w:val="1"/>
    <w:link w:val="157"/>
    <w:qFormat/>
    <w:uiPriority w:val="0"/>
    <w:rPr>
      <w:rFonts w:ascii="宋体" w:hAnsi="Courier New" w:cs="Courier New"/>
      <w:szCs w:val="21"/>
    </w:rPr>
  </w:style>
  <w:style w:type="paragraph" w:styleId="27">
    <w:name w:val="toc 8"/>
    <w:basedOn w:val="1"/>
    <w:next w:val="1"/>
    <w:uiPriority w:val="0"/>
    <w:pPr>
      <w:ind w:left="1260"/>
      <w:jc w:val="left"/>
    </w:pPr>
    <w:rPr>
      <w:rFonts w:ascii="Calibri" w:hAnsi="Calibri" w:cs="Calibri"/>
      <w:sz w:val="20"/>
      <w:szCs w:val="20"/>
    </w:rPr>
  </w:style>
  <w:style w:type="paragraph" w:styleId="28">
    <w:name w:val="Date"/>
    <w:basedOn w:val="1"/>
    <w:next w:val="1"/>
    <w:link w:val="143"/>
    <w:qFormat/>
    <w:uiPriority w:val="0"/>
    <w:rPr>
      <w:sz w:val="24"/>
      <w:szCs w:val="20"/>
    </w:rPr>
  </w:style>
  <w:style w:type="paragraph" w:styleId="29">
    <w:name w:val="Body Text Indent 2"/>
    <w:basedOn w:val="1"/>
    <w:uiPriority w:val="0"/>
    <w:pPr>
      <w:widowControl/>
      <w:overflowPunct w:val="0"/>
      <w:autoSpaceDE w:val="0"/>
      <w:autoSpaceDN w:val="0"/>
      <w:adjustRightInd w:val="0"/>
      <w:spacing w:line="360" w:lineRule="auto"/>
      <w:ind w:firstLine="555"/>
      <w:textAlignment w:val="baseline"/>
    </w:pPr>
    <w:rPr>
      <w:rFonts w:ascii="宋体" w:hAnsi="MS Sans Serif"/>
      <w:spacing w:val="12"/>
      <w:kern w:val="0"/>
      <w:sz w:val="24"/>
      <w:szCs w:val="20"/>
    </w:rPr>
  </w:style>
  <w:style w:type="paragraph" w:styleId="30">
    <w:name w:val="Balloon Text"/>
    <w:basedOn w:val="1"/>
    <w:link w:val="99"/>
    <w:uiPriority w:val="0"/>
    <w:rPr>
      <w:rFonts w:ascii="仿宋_GB2312" w:eastAsia="仿宋_GB2312"/>
      <w:sz w:val="18"/>
      <w:szCs w:val="18"/>
    </w:rPr>
  </w:style>
  <w:style w:type="paragraph" w:styleId="31">
    <w:name w:val="footer"/>
    <w:basedOn w:val="1"/>
    <w:link w:val="74"/>
    <w:qFormat/>
    <w:uiPriority w:val="99"/>
    <w:pPr>
      <w:tabs>
        <w:tab w:val="center" w:pos="4153"/>
        <w:tab w:val="right" w:pos="8306"/>
      </w:tabs>
      <w:snapToGrid w:val="0"/>
      <w:jc w:val="left"/>
    </w:pPr>
    <w:rPr>
      <w:sz w:val="18"/>
      <w:szCs w:val="18"/>
    </w:rPr>
  </w:style>
  <w:style w:type="paragraph" w:styleId="32">
    <w:name w:val="header"/>
    <w:basedOn w:val="1"/>
    <w:link w:val="76"/>
    <w:qFormat/>
    <w:uiPriority w:val="0"/>
    <w:pPr>
      <w:pBdr>
        <w:bottom w:val="single" w:color="auto" w:sz="6" w:space="1"/>
      </w:pBdr>
      <w:tabs>
        <w:tab w:val="center" w:pos="4153"/>
        <w:tab w:val="right" w:pos="8306"/>
      </w:tabs>
      <w:snapToGrid w:val="0"/>
      <w:jc w:val="center"/>
    </w:pPr>
    <w:rPr>
      <w:sz w:val="18"/>
      <w:szCs w:val="18"/>
    </w:rPr>
  </w:style>
  <w:style w:type="paragraph" w:styleId="33">
    <w:name w:val="toc 1"/>
    <w:basedOn w:val="1"/>
    <w:next w:val="1"/>
    <w:uiPriority w:val="39"/>
    <w:pPr>
      <w:spacing w:before="360"/>
      <w:jc w:val="left"/>
    </w:pPr>
    <w:rPr>
      <w:rFonts w:ascii="Cambria" w:hAnsi="Cambria"/>
      <w:b/>
      <w:bCs/>
      <w:caps/>
      <w:sz w:val="24"/>
    </w:rPr>
  </w:style>
  <w:style w:type="paragraph" w:styleId="34">
    <w:name w:val="toc 4"/>
    <w:basedOn w:val="1"/>
    <w:next w:val="1"/>
    <w:uiPriority w:val="0"/>
    <w:pPr>
      <w:ind w:left="420"/>
      <w:jc w:val="left"/>
    </w:pPr>
    <w:rPr>
      <w:rFonts w:ascii="Calibri" w:hAnsi="Calibri" w:cs="Calibri"/>
      <w:sz w:val="20"/>
      <w:szCs w:val="20"/>
    </w:rPr>
  </w:style>
  <w:style w:type="paragraph" w:styleId="35">
    <w:name w:val="index heading"/>
    <w:basedOn w:val="1"/>
    <w:next w:val="36"/>
    <w:uiPriority w:val="0"/>
  </w:style>
  <w:style w:type="paragraph" w:styleId="36">
    <w:name w:val="index 1"/>
    <w:basedOn w:val="1"/>
    <w:next w:val="1"/>
    <w:uiPriority w:val="0"/>
    <w:rPr>
      <w:rFonts w:ascii="宋体" w:hAnsi="宋体"/>
      <w:b/>
      <w:bCs/>
    </w:rPr>
  </w:style>
  <w:style w:type="paragraph" w:styleId="37">
    <w:name w:val="Subtitle"/>
    <w:basedOn w:val="1"/>
    <w:link w:val="134"/>
    <w:qFormat/>
    <w:uiPriority w:val="0"/>
    <w:pPr>
      <w:spacing w:before="240" w:after="60" w:line="312" w:lineRule="auto"/>
      <w:jc w:val="center"/>
      <w:outlineLvl w:val="1"/>
    </w:pPr>
    <w:rPr>
      <w:rFonts w:ascii="Arial" w:hAnsi="Arial" w:eastAsia="仿宋_GB2312"/>
      <w:b/>
      <w:bCs/>
      <w:kern w:val="28"/>
      <w:sz w:val="32"/>
      <w:szCs w:val="32"/>
    </w:rPr>
  </w:style>
  <w:style w:type="paragraph" w:styleId="38">
    <w:name w:val="List"/>
    <w:basedOn w:val="1"/>
    <w:uiPriority w:val="0"/>
    <w:pPr>
      <w:ind w:left="200" w:hanging="200" w:hangingChars="200"/>
    </w:pPr>
  </w:style>
  <w:style w:type="paragraph" w:styleId="39">
    <w:name w:val="footnote text"/>
    <w:basedOn w:val="1"/>
    <w:link w:val="139"/>
    <w:uiPriority w:val="0"/>
    <w:pPr>
      <w:snapToGrid w:val="0"/>
      <w:jc w:val="left"/>
    </w:pPr>
    <w:rPr>
      <w:sz w:val="18"/>
      <w:szCs w:val="18"/>
    </w:rPr>
  </w:style>
  <w:style w:type="paragraph" w:styleId="40">
    <w:name w:val="toc 6"/>
    <w:basedOn w:val="1"/>
    <w:next w:val="1"/>
    <w:uiPriority w:val="0"/>
    <w:pPr>
      <w:ind w:left="840"/>
      <w:jc w:val="left"/>
    </w:pPr>
    <w:rPr>
      <w:rFonts w:ascii="Calibri" w:hAnsi="Calibri" w:cs="Calibri"/>
      <w:sz w:val="20"/>
      <w:szCs w:val="20"/>
    </w:rPr>
  </w:style>
  <w:style w:type="paragraph" w:styleId="41">
    <w:name w:val="Body Text Indent 3"/>
    <w:basedOn w:val="1"/>
    <w:uiPriority w:val="0"/>
    <w:pPr>
      <w:widowControl/>
      <w:overflowPunct w:val="0"/>
      <w:autoSpaceDE w:val="0"/>
      <w:autoSpaceDN w:val="0"/>
      <w:adjustRightInd w:val="0"/>
      <w:spacing w:line="360" w:lineRule="auto"/>
      <w:ind w:firstLine="540"/>
      <w:textAlignment w:val="baseline"/>
    </w:pPr>
    <w:rPr>
      <w:rFonts w:ascii="宋体" w:hAnsi="MS Sans Serif"/>
      <w:color w:val="000000"/>
      <w:kern w:val="0"/>
      <w:sz w:val="24"/>
      <w:szCs w:val="20"/>
    </w:rPr>
  </w:style>
  <w:style w:type="paragraph" w:styleId="42">
    <w:name w:val="toc 2"/>
    <w:basedOn w:val="1"/>
    <w:next w:val="1"/>
    <w:uiPriority w:val="39"/>
    <w:pPr>
      <w:spacing w:before="240"/>
      <w:jc w:val="left"/>
    </w:pPr>
    <w:rPr>
      <w:rFonts w:ascii="Calibri" w:hAnsi="Calibri" w:cs="Calibri"/>
      <w:b/>
      <w:bCs/>
      <w:sz w:val="20"/>
      <w:szCs w:val="20"/>
    </w:rPr>
  </w:style>
  <w:style w:type="paragraph" w:styleId="43">
    <w:name w:val="toc 9"/>
    <w:basedOn w:val="1"/>
    <w:next w:val="1"/>
    <w:uiPriority w:val="0"/>
    <w:pPr>
      <w:ind w:left="1470"/>
      <w:jc w:val="left"/>
    </w:pPr>
    <w:rPr>
      <w:rFonts w:ascii="Calibri" w:hAnsi="Calibri" w:cs="Calibri"/>
      <w:sz w:val="20"/>
      <w:szCs w:val="20"/>
    </w:rPr>
  </w:style>
  <w:style w:type="paragraph" w:styleId="44">
    <w:name w:val="Body Text 2"/>
    <w:basedOn w:val="1"/>
    <w:link w:val="156"/>
    <w:uiPriority w:val="0"/>
    <w:pPr>
      <w:spacing w:after="120" w:line="480" w:lineRule="auto"/>
    </w:pPr>
  </w:style>
  <w:style w:type="paragraph" w:styleId="45">
    <w:name w:val="Normal (Web)"/>
    <w:basedOn w:val="1"/>
    <w:qFormat/>
    <w:uiPriority w:val="99"/>
    <w:rPr>
      <w:sz w:val="24"/>
    </w:rPr>
  </w:style>
  <w:style w:type="paragraph" w:styleId="46">
    <w:name w:val="Title"/>
    <w:basedOn w:val="1"/>
    <w:link w:val="63"/>
    <w:qFormat/>
    <w:uiPriority w:val="0"/>
    <w:pPr>
      <w:adjustRightInd w:val="0"/>
      <w:spacing w:before="240" w:after="60" w:line="420" w:lineRule="atLeast"/>
      <w:jc w:val="center"/>
      <w:textAlignment w:val="baseline"/>
      <w:outlineLvl w:val="0"/>
    </w:pPr>
    <w:rPr>
      <w:rFonts w:ascii="Arial" w:hAnsi="Arial"/>
      <w:b/>
      <w:kern w:val="0"/>
      <w:sz w:val="32"/>
      <w:szCs w:val="20"/>
    </w:rPr>
  </w:style>
  <w:style w:type="paragraph" w:styleId="47">
    <w:name w:val="annotation subject"/>
    <w:basedOn w:val="15"/>
    <w:next w:val="15"/>
    <w:link w:val="140"/>
    <w:uiPriority w:val="0"/>
    <w:pPr>
      <w:adjustRightInd/>
      <w:spacing w:line="240" w:lineRule="auto"/>
      <w:textAlignment w:val="auto"/>
    </w:pPr>
    <w:rPr>
      <w:b/>
      <w:bCs/>
      <w:kern w:val="2"/>
      <w:sz w:val="21"/>
      <w:szCs w:val="24"/>
    </w:rPr>
  </w:style>
  <w:style w:type="table" w:styleId="49">
    <w:name w:val="Table Grid"/>
    <w:basedOn w:val="48"/>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1">
    <w:name w:val="Strong"/>
    <w:qFormat/>
    <w:uiPriority w:val="0"/>
    <w:rPr>
      <w:b/>
      <w:bCs/>
    </w:rPr>
  </w:style>
  <w:style w:type="character" w:styleId="52">
    <w:name w:val="page number"/>
    <w:basedOn w:val="50"/>
    <w:qFormat/>
    <w:uiPriority w:val="0"/>
  </w:style>
  <w:style w:type="character" w:styleId="53">
    <w:name w:val="FollowedHyperlink"/>
    <w:qFormat/>
    <w:uiPriority w:val="0"/>
    <w:rPr>
      <w:color w:val="800080"/>
      <w:u w:val="single"/>
    </w:rPr>
  </w:style>
  <w:style w:type="character" w:styleId="54">
    <w:name w:val="Emphasis"/>
    <w:qFormat/>
    <w:uiPriority w:val="0"/>
    <w:rPr>
      <w:i/>
      <w:iCs/>
    </w:rPr>
  </w:style>
  <w:style w:type="character" w:styleId="55">
    <w:name w:val="Hyperlink"/>
    <w:qFormat/>
    <w:uiPriority w:val="99"/>
    <w:rPr>
      <w:color w:val="0000FF"/>
      <w:u w:val="single"/>
    </w:rPr>
  </w:style>
  <w:style w:type="character" w:styleId="56">
    <w:name w:val="annotation reference"/>
    <w:qFormat/>
    <w:uiPriority w:val="0"/>
    <w:rPr>
      <w:sz w:val="21"/>
      <w:szCs w:val="21"/>
    </w:rPr>
  </w:style>
  <w:style w:type="character" w:styleId="57">
    <w:name w:val="footnote reference"/>
    <w:qFormat/>
    <w:uiPriority w:val="0"/>
    <w:rPr>
      <w:vertAlign w:val="superscript"/>
    </w:rPr>
  </w:style>
  <w:style w:type="character" w:customStyle="1" w:styleId="58">
    <w:name w:val="标题 2 字符"/>
    <w:link w:val="3"/>
    <w:qFormat/>
    <w:uiPriority w:val="0"/>
    <w:rPr>
      <w:rFonts w:ascii="Arial" w:hAnsi="Arial" w:eastAsia="黑体"/>
      <w:b/>
      <w:sz w:val="36"/>
      <w:lang w:val="en-US" w:eastAsia="zh-CN" w:bidi="ar-SA"/>
    </w:rPr>
  </w:style>
  <w:style w:type="character" w:customStyle="1" w:styleId="59">
    <w:name w:val="Intense Reference"/>
    <w:qFormat/>
    <w:uiPriority w:val="0"/>
    <w:rPr>
      <w:b/>
      <w:bCs/>
      <w:smallCaps/>
      <w:color w:val="C0504D"/>
      <w:spacing w:val="5"/>
      <w:u w:val="single"/>
    </w:rPr>
  </w:style>
  <w:style w:type="character" w:customStyle="1" w:styleId="60">
    <w:name w:val="Char Char22"/>
    <w:qFormat/>
    <w:uiPriority w:val="0"/>
    <w:rPr>
      <w:rFonts w:eastAsia="宋体"/>
      <w:b/>
      <w:bCs/>
      <w:kern w:val="1"/>
      <w:sz w:val="24"/>
      <w:szCs w:val="32"/>
      <w:lang w:val="en-US" w:eastAsia="ar-SA" w:bidi="ar-SA"/>
    </w:rPr>
  </w:style>
  <w:style w:type="character" w:customStyle="1" w:styleId="61">
    <w:name w:val="正文缩进 字符1"/>
    <w:link w:val="4"/>
    <w:qFormat/>
    <w:uiPriority w:val="0"/>
    <w:rPr>
      <w:kern w:val="2"/>
      <w:sz w:val="21"/>
      <w:szCs w:val="24"/>
    </w:rPr>
  </w:style>
  <w:style w:type="character" w:customStyle="1" w:styleId="62">
    <w:name w:val="Blockquote Char"/>
    <w:qFormat/>
    <w:uiPriority w:val="0"/>
    <w:rPr>
      <w:rFonts w:eastAsia="宋体"/>
      <w:sz w:val="24"/>
      <w:lang w:val="en-US" w:eastAsia="zh-CN" w:bidi="ar-SA"/>
    </w:rPr>
  </w:style>
  <w:style w:type="character" w:customStyle="1" w:styleId="63">
    <w:name w:val="标题 字符"/>
    <w:link w:val="46"/>
    <w:qFormat/>
    <w:uiPriority w:val="0"/>
    <w:rPr>
      <w:rFonts w:ascii="Arial" w:hAnsi="Arial"/>
      <w:b/>
      <w:sz w:val="32"/>
    </w:rPr>
  </w:style>
  <w:style w:type="character" w:customStyle="1" w:styleId="64">
    <w:name w:val="副标题 Char1"/>
    <w:qFormat/>
    <w:uiPriority w:val="0"/>
    <w:rPr>
      <w:rFonts w:ascii="Calibri Light" w:hAnsi="Calibri Light" w:cs="Times New Roman"/>
      <w:b/>
      <w:bCs/>
      <w:kern w:val="28"/>
      <w:sz w:val="32"/>
      <w:szCs w:val="32"/>
    </w:rPr>
  </w:style>
  <w:style w:type="character" w:customStyle="1" w:styleId="65">
    <w:name w:val="标题 9 字符"/>
    <w:link w:val="11"/>
    <w:qFormat/>
    <w:uiPriority w:val="0"/>
    <w:rPr>
      <w:rFonts w:ascii="Arial" w:hAnsi="Arial" w:eastAsia="黑体"/>
      <w:sz w:val="21"/>
      <w:szCs w:val="21"/>
    </w:rPr>
  </w:style>
  <w:style w:type="character" w:customStyle="1" w:styleId="66">
    <w:name w:val="日期 Char1"/>
    <w:qFormat/>
    <w:uiPriority w:val="0"/>
    <w:rPr>
      <w:kern w:val="2"/>
      <w:sz w:val="21"/>
      <w:szCs w:val="22"/>
    </w:rPr>
  </w:style>
  <w:style w:type="character" w:customStyle="1" w:styleId="67">
    <w:name w:val="WW8Num2z0"/>
    <w:qFormat/>
    <w:uiPriority w:val="0"/>
    <w:rPr>
      <w:rFonts w:ascii="宋体" w:hAnsi="宋体" w:eastAsia="宋体" w:cs="Times New Roman"/>
    </w:rPr>
  </w:style>
  <w:style w:type="character" w:customStyle="1" w:styleId="68">
    <w:name w:val="正文文本 字符"/>
    <w:link w:val="18"/>
    <w:qFormat/>
    <w:uiPriority w:val="0"/>
    <w:rPr>
      <w:rFonts w:eastAsia="宋体"/>
      <w:kern w:val="2"/>
      <w:sz w:val="21"/>
      <w:szCs w:val="24"/>
      <w:lang w:val="en-US" w:eastAsia="zh-CN" w:bidi="ar-SA"/>
    </w:rPr>
  </w:style>
  <w:style w:type="character" w:customStyle="1" w:styleId="69">
    <w:name w:val="批注文字 字符"/>
    <w:link w:val="15"/>
    <w:qFormat/>
    <w:uiPriority w:val="0"/>
    <w:rPr>
      <w:rFonts w:eastAsia="宋体"/>
      <w:sz w:val="24"/>
      <w:lang w:val="en-US" w:eastAsia="zh-CN" w:bidi="ar-SA"/>
    </w:rPr>
  </w:style>
  <w:style w:type="character" w:customStyle="1" w:styleId="70">
    <w:name w:val="页码1"/>
    <w:basedOn w:val="50"/>
    <w:qFormat/>
    <w:uiPriority w:val="0"/>
  </w:style>
  <w:style w:type="character" w:customStyle="1" w:styleId="71">
    <w:name w:val="文档结构图 Char1"/>
    <w:qFormat/>
    <w:uiPriority w:val="0"/>
    <w:rPr>
      <w:rFonts w:ascii="宋体"/>
      <w:kern w:val="2"/>
      <w:sz w:val="18"/>
      <w:szCs w:val="18"/>
    </w:rPr>
  </w:style>
  <w:style w:type="character" w:customStyle="1" w:styleId="72">
    <w:name w:val="标书正文格式 Char"/>
    <w:link w:val="73"/>
    <w:qFormat/>
    <w:uiPriority w:val="0"/>
    <w:rPr>
      <w:rFonts w:eastAsia="楷体_GB2312"/>
      <w:kern w:val="2"/>
      <w:sz w:val="24"/>
      <w:szCs w:val="24"/>
      <w:lang w:val="en-US" w:eastAsia="zh-CN" w:bidi="ar-SA"/>
    </w:rPr>
  </w:style>
  <w:style w:type="paragraph" w:customStyle="1" w:styleId="73">
    <w:name w:val="标书正文格式"/>
    <w:link w:val="72"/>
    <w:qFormat/>
    <w:uiPriority w:val="0"/>
    <w:pPr>
      <w:spacing w:line="360" w:lineRule="auto"/>
      <w:ind w:firstLine="200" w:firstLineChars="200"/>
    </w:pPr>
    <w:rPr>
      <w:rFonts w:ascii="Times New Roman" w:hAnsi="Times New Roman" w:eastAsia="楷体_GB2312" w:cs="Times New Roman"/>
      <w:kern w:val="2"/>
      <w:sz w:val="24"/>
      <w:szCs w:val="24"/>
      <w:lang w:val="en-US" w:eastAsia="zh-CN" w:bidi="ar-SA"/>
    </w:rPr>
  </w:style>
  <w:style w:type="character" w:customStyle="1" w:styleId="74">
    <w:name w:val="页脚 字符"/>
    <w:link w:val="31"/>
    <w:qFormat/>
    <w:uiPriority w:val="99"/>
    <w:rPr>
      <w:kern w:val="2"/>
      <w:sz w:val="18"/>
      <w:szCs w:val="18"/>
    </w:rPr>
  </w:style>
  <w:style w:type="character" w:customStyle="1" w:styleId="75">
    <w:name w:val="Char Char24"/>
    <w:qFormat/>
    <w:uiPriority w:val="0"/>
    <w:rPr>
      <w:rFonts w:eastAsia="宋体"/>
      <w:b/>
      <w:bCs/>
      <w:kern w:val="44"/>
      <w:sz w:val="32"/>
      <w:szCs w:val="44"/>
      <w:lang w:val="en-US" w:eastAsia="ar-SA" w:bidi="ar-SA"/>
    </w:rPr>
  </w:style>
  <w:style w:type="character" w:customStyle="1" w:styleId="76">
    <w:name w:val="页眉 字符"/>
    <w:link w:val="32"/>
    <w:qFormat/>
    <w:uiPriority w:val="0"/>
    <w:rPr>
      <w:rFonts w:eastAsia="宋体"/>
      <w:kern w:val="2"/>
      <w:sz w:val="18"/>
      <w:szCs w:val="18"/>
      <w:lang w:val="en-US" w:eastAsia="zh-CN" w:bidi="ar-SA"/>
    </w:rPr>
  </w:style>
  <w:style w:type="character" w:customStyle="1" w:styleId="77">
    <w:name w:val="批注文字 Char2"/>
    <w:qFormat/>
    <w:uiPriority w:val="0"/>
    <w:rPr>
      <w:rFonts w:ascii="Times New Roman" w:hAnsi="Times New Roman" w:eastAsia="宋体"/>
      <w:kern w:val="2"/>
      <w:sz w:val="21"/>
      <w:szCs w:val="24"/>
    </w:rPr>
  </w:style>
  <w:style w:type="character" w:customStyle="1" w:styleId="78">
    <w:name w:val="标题5 Char Char"/>
    <w:link w:val="79"/>
    <w:qFormat/>
    <w:uiPriority w:val="0"/>
    <w:rPr>
      <w:rFonts w:ascii="Arial" w:hAnsi="Arial"/>
      <w:b/>
      <w:bCs/>
      <w:sz w:val="24"/>
      <w:szCs w:val="32"/>
    </w:rPr>
  </w:style>
  <w:style w:type="paragraph" w:customStyle="1" w:styleId="79">
    <w:name w:val="标题5"/>
    <w:basedOn w:val="5"/>
    <w:link w:val="78"/>
    <w:qFormat/>
    <w:uiPriority w:val="0"/>
    <w:pPr>
      <w:widowControl w:val="0"/>
      <w:numPr>
        <w:ilvl w:val="0"/>
        <w:numId w:val="0"/>
      </w:numPr>
      <w:tabs>
        <w:tab w:val="clear" w:pos="720"/>
      </w:tabs>
      <w:spacing w:before="260" w:after="260" w:line="413" w:lineRule="auto"/>
      <w:jc w:val="both"/>
    </w:pPr>
    <w:rPr>
      <w:rFonts w:ascii="Arial" w:hAnsi="Arial"/>
      <w:bCs/>
      <w:sz w:val="24"/>
      <w:szCs w:val="32"/>
    </w:rPr>
  </w:style>
  <w:style w:type="character" w:customStyle="1" w:styleId="80">
    <w:name w:val="Char Char5"/>
    <w:qFormat/>
    <w:uiPriority w:val="0"/>
    <w:rPr>
      <w:rFonts w:ascii="Arial" w:hAnsi="Arial" w:eastAsia="宋体"/>
      <w:b/>
      <w:sz w:val="32"/>
      <w:lang w:val="en-US" w:eastAsia="zh-CN" w:bidi="ar-SA"/>
    </w:rPr>
  </w:style>
  <w:style w:type="character" w:customStyle="1" w:styleId="81">
    <w:name w:val="文档结构图 Char3"/>
    <w:qFormat/>
    <w:uiPriority w:val="0"/>
    <w:rPr>
      <w:rFonts w:ascii="宋体"/>
      <w:kern w:val="2"/>
      <w:sz w:val="18"/>
      <w:szCs w:val="18"/>
    </w:rPr>
  </w:style>
  <w:style w:type="character" w:customStyle="1" w:styleId="82">
    <w:name w:val="Heading 1 Char"/>
    <w:qFormat/>
    <w:locked/>
    <w:uiPriority w:val="0"/>
    <w:rPr>
      <w:rFonts w:eastAsia="宋体"/>
      <w:b/>
      <w:kern w:val="44"/>
      <w:sz w:val="44"/>
      <w:lang w:val="en-US" w:eastAsia="ar-SA" w:bidi="ar-SA"/>
    </w:rPr>
  </w:style>
  <w:style w:type="character" w:customStyle="1" w:styleId="83">
    <w:name w:val="批注框文本 Char2"/>
    <w:qFormat/>
    <w:uiPriority w:val="0"/>
    <w:rPr>
      <w:kern w:val="2"/>
      <w:sz w:val="18"/>
      <w:szCs w:val="18"/>
    </w:rPr>
  </w:style>
  <w:style w:type="character" w:customStyle="1" w:styleId="84">
    <w:name w:val="页脚 Char1"/>
    <w:semiHidden/>
    <w:qFormat/>
    <w:uiPriority w:val="0"/>
    <w:rPr>
      <w:rFonts w:ascii="Times New Roman" w:hAnsi="Times New Roman" w:eastAsia="宋体"/>
      <w:kern w:val="2"/>
      <w:sz w:val="18"/>
      <w:szCs w:val="18"/>
    </w:rPr>
  </w:style>
  <w:style w:type="character" w:customStyle="1" w:styleId="85">
    <w:name w:val="font41"/>
    <w:qFormat/>
    <w:uiPriority w:val="0"/>
    <w:rPr>
      <w:rFonts w:hint="eastAsia" w:ascii="宋体" w:hAnsi="宋体" w:eastAsia="宋体" w:cs="宋体"/>
      <w:color w:val="000000"/>
      <w:sz w:val="20"/>
      <w:szCs w:val="20"/>
      <w:u w:val="none"/>
    </w:rPr>
  </w:style>
  <w:style w:type="character" w:customStyle="1" w:styleId="86">
    <w:name w:val="明显引用 字符"/>
    <w:link w:val="87"/>
    <w:qFormat/>
    <w:uiPriority w:val="0"/>
    <w:rPr>
      <w:b/>
      <w:bCs/>
      <w:i/>
      <w:iCs/>
      <w:color w:val="4F81BD"/>
      <w:kern w:val="2"/>
      <w:sz w:val="21"/>
      <w:szCs w:val="22"/>
    </w:rPr>
  </w:style>
  <w:style w:type="paragraph" w:styleId="87">
    <w:name w:val="Intense Quote"/>
    <w:basedOn w:val="1"/>
    <w:next w:val="1"/>
    <w:link w:val="86"/>
    <w:qFormat/>
    <w:uiPriority w:val="0"/>
    <w:pPr>
      <w:pBdr>
        <w:bottom w:val="single" w:color="4F81BD" w:sz="4" w:space="4"/>
      </w:pBdr>
      <w:spacing w:before="200" w:after="280"/>
      <w:ind w:left="936" w:right="936"/>
    </w:pPr>
    <w:rPr>
      <w:b/>
      <w:bCs/>
      <w:i/>
      <w:iCs/>
      <w:color w:val="4F81BD"/>
      <w:szCs w:val="22"/>
    </w:rPr>
  </w:style>
  <w:style w:type="character" w:customStyle="1" w:styleId="88">
    <w:name w:val="Blockquote Char Char"/>
    <w:qFormat/>
    <w:uiPriority w:val="0"/>
    <w:rPr>
      <w:rFonts w:eastAsia="宋体"/>
      <w:sz w:val="24"/>
      <w:lang w:val="en-US" w:eastAsia="zh-CN" w:bidi="ar-SA"/>
    </w:rPr>
  </w:style>
  <w:style w:type="character" w:customStyle="1" w:styleId="89">
    <w:name w:val="标题 Char1"/>
    <w:qFormat/>
    <w:uiPriority w:val="0"/>
    <w:rPr>
      <w:rFonts w:ascii="Calibri Light" w:hAnsi="Calibri Light" w:cs="Times New Roman"/>
      <w:b/>
      <w:bCs/>
      <w:kern w:val="2"/>
      <w:sz w:val="32"/>
      <w:szCs w:val="32"/>
    </w:rPr>
  </w:style>
  <w:style w:type="character" w:customStyle="1" w:styleId="90">
    <w:name w:val="apple-converted-space"/>
    <w:basedOn w:val="50"/>
    <w:qFormat/>
    <w:uiPriority w:val="0"/>
  </w:style>
  <w:style w:type="character" w:customStyle="1" w:styleId="91">
    <w:name w:val="标题4 Char Char"/>
    <w:link w:val="92"/>
    <w:qFormat/>
    <w:uiPriority w:val="0"/>
    <w:rPr>
      <w:rFonts w:ascii="Arial" w:hAnsi="Arial"/>
      <w:b/>
      <w:bCs/>
      <w:sz w:val="24"/>
      <w:szCs w:val="32"/>
    </w:rPr>
  </w:style>
  <w:style w:type="paragraph" w:customStyle="1" w:styleId="92">
    <w:name w:val="标题4"/>
    <w:basedOn w:val="3"/>
    <w:next w:val="23"/>
    <w:link w:val="91"/>
    <w:qFormat/>
    <w:uiPriority w:val="0"/>
    <w:pPr>
      <w:widowControl w:val="0"/>
      <w:spacing w:line="413" w:lineRule="auto"/>
      <w:jc w:val="both"/>
    </w:pPr>
    <w:rPr>
      <w:rFonts w:eastAsia="宋体"/>
      <w:bCs/>
      <w:sz w:val="24"/>
      <w:szCs w:val="32"/>
    </w:rPr>
  </w:style>
  <w:style w:type="character" w:customStyle="1" w:styleId="93">
    <w:name w:val="批注主题 Char3"/>
    <w:semiHidden/>
    <w:qFormat/>
    <w:uiPriority w:val="0"/>
    <w:rPr>
      <w:rFonts w:ascii="Times New Roman" w:hAnsi="Times New Roman" w:eastAsia="宋体"/>
      <w:b/>
      <w:bCs/>
      <w:kern w:val="2"/>
      <w:sz w:val="21"/>
      <w:szCs w:val="24"/>
    </w:rPr>
  </w:style>
  <w:style w:type="character" w:customStyle="1" w:styleId="94">
    <w:name w:val="标题 5 字符"/>
    <w:link w:val="7"/>
    <w:qFormat/>
    <w:uiPriority w:val="0"/>
    <w:rPr>
      <w:rFonts w:ascii="宋体" w:hAnsi="宋体"/>
      <w:b/>
      <w:sz w:val="24"/>
    </w:rPr>
  </w:style>
  <w:style w:type="character" w:customStyle="1" w:styleId="95">
    <w:name w:val="Char Char23"/>
    <w:qFormat/>
    <w:uiPriority w:val="0"/>
    <w:rPr>
      <w:rFonts w:ascii="宋体" w:hAnsi="宋体" w:eastAsia="宋体"/>
      <w:b/>
      <w:color w:val="FF0000"/>
      <w:kern w:val="1"/>
      <w:sz w:val="28"/>
      <w:szCs w:val="24"/>
      <w:u w:val="single"/>
      <w:lang w:val="en-US" w:eastAsia="ar-SA" w:bidi="ar-SA"/>
    </w:rPr>
  </w:style>
  <w:style w:type="character" w:customStyle="1" w:styleId="96">
    <w:name w:val="t_tag"/>
    <w:basedOn w:val="50"/>
    <w:qFormat/>
    <w:uiPriority w:val="0"/>
  </w:style>
  <w:style w:type="character" w:customStyle="1" w:styleId="97">
    <w:name w:val="Char Char26"/>
    <w:qFormat/>
    <w:uiPriority w:val="0"/>
    <w:rPr>
      <w:rFonts w:ascii="宋体" w:hAnsi="宋体" w:eastAsia="宋体"/>
      <w:b/>
      <w:color w:val="FF0000"/>
      <w:kern w:val="1"/>
      <w:sz w:val="28"/>
      <w:szCs w:val="24"/>
      <w:u w:val="single"/>
      <w:lang w:val="en-US" w:eastAsia="ar-SA" w:bidi="ar-SA"/>
    </w:rPr>
  </w:style>
  <w:style w:type="character" w:customStyle="1" w:styleId="98">
    <w:name w:val="批注框文本 Char1"/>
    <w:qFormat/>
    <w:uiPriority w:val="0"/>
    <w:rPr>
      <w:kern w:val="2"/>
      <w:sz w:val="18"/>
      <w:szCs w:val="18"/>
    </w:rPr>
  </w:style>
  <w:style w:type="character" w:customStyle="1" w:styleId="99">
    <w:name w:val="批注框文本 字符"/>
    <w:link w:val="30"/>
    <w:qFormat/>
    <w:uiPriority w:val="0"/>
    <w:rPr>
      <w:rFonts w:ascii="仿宋_GB2312" w:eastAsia="仿宋_GB2312"/>
      <w:kern w:val="2"/>
      <w:sz w:val="18"/>
      <w:szCs w:val="18"/>
    </w:rPr>
  </w:style>
  <w:style w:type="character" w:customStyle="1" w:styleId="100">
    <w:name w:val="font01"/>
    <w:qFormat/>
    <w:uiPriority w:val="0"/>
    <w:rPr>
      <w:rFonts w:hint="default" w:ascii="Times New Roman" w:hAnsi="Times New Roman" w:cs="Times New Roman"/>
      <w:color w:val="000000"/>
      <w:sz w:val="20"/>
      <w:szCs w:val="20"/>
      <w:u w:val="none"/>
    </w:rPr>
  </w:style>
  <w:style w:type="character" w:customStyle="1" w:styleId="101">
    <w:name w:val="标题 6 字符"/>
    <w:link w:val="8"/>
    <w:qFormat/>
    <w:uiPriority w:val="0"/>
    <w:rPr>
      <w:rFonts w:ascii="Arial" w:hAnsi="Arial" w:eastAsia="黑体"/>
      <w:b/>
      <w:bCs/>
      <w:sz w:val="24"/>
      <w:szCs w:val="24"/>
    </w:rPr>
  </w:style>
  <w:style w:type="character" w:customStyle="1" w:styleId="102">
    <w:name w:val="Char Char6"/>
    <w:qFormat/>
    <w:uiPriority w:val="0"/>
    <w:rPr>
      <w:rFonts w:eastAsia="宋体"/>
      <w:kern w:val="2"/>
      <w:sz w:val="21"/>
      <w:szCs w:val="24"/>
      <w:lang w:val="en-US" w:eastAsia="zh-CN" w:bidi="ar-SA"/>
    </w:rPr>
  </w:style>
  <w:style w:type="character" w:customStyle="1" w:styleId="103">
    <w:name w:val="Char Char27"/>
    <w:qFormat/>
    <w:uiPriority w:val="0"/>
    <w:rPr>
      <w:rFonts w:eastAsia="宋体"/>
      <w:b/>
      <w:bCs/>
      <w:kern w:val="44"/>
      <w:sz w:val="32"/>
      <w:szCs w:val="44"/>
      <w:lang w:val="en-US" w:eastAsia="ar-SA" w:bidi="ar-SA"/>
    </w:rPr>
  </w:style>
  <w:style w:type="character" w:customStyle="1" w:styleId="104">
    <w:name w:val="纯文本 Char1"/>
    <w:qFormat/>
    <w:uiPriority w:val="0"/>
    <w:rPr>
      <w:rFonts w:ascii="宋体" w:hAnsi="Courier New" w:cs="Courier New"/>
      <w:kern w:val="2"/>
      <w:sz w:val="21"/>
      <w:szCs w:val="21"/>
    </w:rPr>
  </w:style>
  <w:style w:type="character" w:customStyle="1" w:styleId="105">
    <w:name w:val="正文缩进 字符"/>
    <w:qFormat/>
    <w:uiPriority w:val="0"/>
    <w:rPr>
      <w:kern w:val="2"/>
      <w:sz w:val="21"/>
      <w:szCs w:val="24"/>
    </w:rPr>
  </w:style>
  <w:style w:type="character" w:customStyle="1" w:styleId="106">
    <w:name w:val="批注主题 Char1"/>
    <w:qFormat/>
    <w:uiPriority w:val="0"/>
    <w:rPr>
      <w:b/>
      <w:bCs/>
      <w:kern w:val="2"/>
      <w:sz w:val="21"/>
      <w:szCs w:val="22"/>
    </w:rPr>
  </w:style>
  <w:style w:type="character" w:customStyle="1" w:styleId="107">
    <w:name w:val="Plain Text Char Char"/>
    <w:link w:val="108"/>
    <w:qFormat/>
    <w:uiPriority w:val="0"/>
    <w:rPr>
      <w:rFonts w:ascii="宋体" w:hAnsi="Courier New"/>
      <w:kern w:val="2"/>
      <w:sz w:val="21"/>
      <w:szCs w:val="21"/>
    </w:rPr>
  </w:style>
  <w:style w:type="paragraph" w:customStyle="1" w:styleId="108">
    <w:name w:val="纯文本1"/>
    <w:basedOn w:val="1"/>
    <w:link w:val="107"/>
    <w:qFormat/>
    <w:uiPriority w:val="0"/>
    <w:rPr>
      <w:rFonts w:ascii="宋体" w:hAnsi="Courier New"/>
      <w:szCs w:val="21"/>
    </w:rPr>
  </w:style>
  <w:style w:type="character" w:customStyle="1" w:styleId="109">
    <w:name w:val="标题 1 字符"/>
    <w:link w:val="2"/>
    <w:qFormat/>
    <w:uiPriority w:val="0"/>
    <w:rPr>
      <w:rFonts w:ascii="黑体" w:eastAsia="黑体"/>
      <w:sz w:val="52"/>
    </w:rPr>
  </w:style>
  <w:style w:type="character" w:customStyle="1" w:styleId="110">
    <w:name w:val="文档结构图 Char2"/>
    <w:qFormat/>
    <w:uiPriority w:val="0"/>
    <w:rPr>
      <w:rFonts w:ascii="Microsoft YaHei UI" w:eastAsia="Microsoft YaHei UI"/>
      <w:kern w:val="2"/>
      <w:sz w:val="18"/>
      <w:szCs w:val="18"/>
    </w:rPr>
  </w:style>
  <w:style w:type="character" w:customStyle="1" w:styleId="111">
    <w:name w:val="文档结构图 字符"/>
    <w:link w:val="14"/>
    <w:qFormat/>
    <w:uiPriority w:val="0"/>
    <w:rPr>
      <w:kern w:val="2"/>
      <w:sz w:val="21"/>
      <w:szCs w:val="24"/>
      <w:shd w:val="clear" w:color="auto" w:fill="000080"/>
    </w:rPr>
  </w:style>
  <w:style w:type="character" w:customStyle="1" w:styleId="112">
    <w:name w:val="正文文本 Char2"/>
    <w:qFormat/>
    <w:uiPriority w:val="0"/>
    <w:rPr>
      <w:kern w:val="2"/>
      <w:sz w:val="21"/>
      <w:szCs w:val="22"/>
    </w:rPr>
  </w:style>
  <w:style w:type="character" w:customStyle="1" w:styleId="113">
    <w:name w:val="正文文本 Char3"/>
    <w:semiHidden/>
    <w:qFormat/>
    <w:uiPriority w:val="0"/>
    <w:rPr>
      <w:rFonts w:ascii="Times New Roman" w:hAnsi="Times New Roman" w:eastAsia="宋体"/>
      <w:kern w:val="2"/>
      <w:sz w:val="21"/>
      <w:szCs w:val="24"/>
    </w:rPr>
  </w:style>
  <w:style w:type="character" w:customStyle="1" w:styleId="114">
    <w:name w:val="正文文本 Char1"/>
    <w:qFormat/>
    <w:uiPriority w:val="0"/>
    <w:rPr>
      <w:kern w:val="2"/>
      <w:sz w:val="21"/>
      <w:szCs w:val="22"/>
    </w:rPr>
  </w:style>
  <w:style w:type="character" w:customStyle="1" w:styleId="115">
    <w:name w:val="纯文本 Char2"/>
    <w:qFormat/>
    <w:uiPriority w:val="99"/>
    <w:rPr>
      <w:rFonts w:ascii="宋体" w:hAnsi="Courier New" w:eastAsia="宋体" w:cs="Courier New"/>
      <w:szCs w:val="21"/>
    </w:rPr>
  </w:style>
  <w:style w:type="character" w:customStyle="1" w:styleId="116">
    <w:name w:val="批注文字 Char1"/>
    <w:qFormat/>
    <w:uiPriority w:val="0"/>
    <w:rPr>
      <w:kern w:val="2"/>
      <w:sz w:val="21"/>
      <w:szCs w:val="22"/>
    </w:rPr>
  </w:style>
  <w:style w:type="character" w:customStyle="1" w:styleId="117">
    <w:name w:val="普通文字 Char2"/>
    <w:qFormat/>
    <w:uiPriority w:val="0"/>
    <w:rPr>
      <w:rFonts w:ascii="宋体" w:hAnsi="Courier New" w:eastAsia="仿宋_GB2312" w:cs="Courier New"/>
      <w:kern w:val="2"/>
      <w:sz w:val="32"/>
      <w:szCs w:val="21"/>
      <w:lang w:val="en-US" w:eastAsia="zh-CN" w:bidi="ar-SA"/>
    </w:rPr>
  </w:style>
  <w:style w:type="character" w:customStyle="1" w:styleId="118">
    <w:name w:val="Char Char21"/>
    <w:qFormat/>
    <w:uiPriority w:val="0"/>
    <w:rPr>
      <w:rFonts w:ascii="Arial" w:hAnsi="Arial" w:eastAsia="黑体"/>
      <w:b/>
      <w:bCs/>
      <w:kern w:val="1"/>
      <w:sz w:val="72"/>
      <w:szCs w:val="28"/>
      <w:lang w:val="en-US" w:eastAsia="ar-SA" w:bidi="he-IL"/>
    </w:rPr>
  </w:style>
  <w:style w:type="character" w:customStyle="1" w:styleId="119">
    <w:name w:val="WW8Num1z0"/>
    <w:qFormat/>
    <w:uiPriority w:val="0"/>
    <w:rPr>
      <w:rFonts w:ascii="宋体" w:hAnsi="宋体" w:eastAsia="宋体" w:cs="Times New Roman"/>
    </w:rPr>
  </w:style>
  <w:style w:type="character" w:customStyle="1" w:styleId="120">
    <w:name w:val="red1"/>
    <w:qFormat/>
    <w:uiPriority w:val="0"/>
    <w:rPr>
      <w:color w:val="FF0000"/>
    </w:rPr>
  </w:style>
  <w:style w:type="character" w:customStyle="1" w:styleId="121">
    <w:name w:val="WW8Num1z1"/>
    <w:qFormat/>
    <w:uiPriority w:val="0"/>
    <w:rPr>
      <w:rFonts w:ascii="Wingdings" w:hAnsi="Wingdings"/>
    </w:rPr>
  </w:style>
  <w:style w:type="character" w:customStyle="1" w:styleId="122">
    <w:name w:val="正文文本缩进 字符"/>
    <w:link w:val="19"/>
    <w:qFormat/>
    <w:uiPriority w:val="0"/>
    <w:rPr>
      <w:rFonts w:eastAsia="宋体"/>
      <w:kern w:val="2"/>
      <w:sz w:val="21"/>
      <w:szCs w:val="24"/>
      <w:lang w:val="en-US" w:eastAsia="zh-CN" w:bidi="ar-SA"/>
    </w:rPr>
  </w:style>
  <w:style w:type="character" w:customStyle="1" w:styleId="123">
    <w:name w:val="15"/>
    <w:qFormat/>
    <w:uiPriority w:val="0"/>
    <w:rPr>
      <w:rFonts w:hint="default" w:ascii="Calibri" w:hAnsi="Calibri"/>
      <w:b/>
      <w:bCs/>
      <w:sz w:val="20"/>
      <w:szCs w:val="20"/>
    </w:rPr>
  </w:style>
  <w:style w:type="character" w:customStyle="1" w:styleId="124">
    <w:name w:val="副标题 Char2"/>
    <w:qFormat/>
    <w:uiPriority w:val="0"/>
    <w:rPr>
      <w:rFonts w:ascii="Cambria" w:hAnsi="Cambria" w:cs="Times New Roman"/>
      <w:b/>
      <w:bCs/>
      <w:kern w:val="28"/>
      <w:sz w:val="32"/>
      <w:szCs w:val="32"/>
    </w:rPr>
  </w:style>
  <w:style w:type="character" w:customStyle="1" w:styleId="125">
    <w:name w:val="textcontents"/>
    <w:qFormat/>
    <w:uiPriority w:val="0"/>
    <w:rPr>
      <w:rFonts w:cs="Times New Roman"/>
    </w:rPr>
  </w:style>
  <w:style w:type="character" w:customStyle="1" w:styleId="126">
    <w:name w:val="批注主题 Char2"/>
    <w:qFormat/>
    <w:uiPriority w:val="0"/>
    <w:rPr>
      <w:b/>
      <w:bCs/>
      <w:kern w:val="2"/>
      <w:sz w:val="21"/>
      <w:szCs w:val="22"/>
    </w:rPr>
  </w:style>
  <w:style w:type="character" w:customStyle="1" w:styleId="127">
    <w:name w:val="apple-style-span"/>
    <w:basedOn w:val="50"/>
    <w:qFormat/>
    <w:uiPriority w:val="0"/>
  </w:style>
  <w:style w:type="character" w:customStyle="1" w:styleId="128">
    <w:name w:val="明显引用 Char2"/>
    <w:qFormat/>
    <w:uiPriority w:val="0"/>
    <w:rPr>
      <w:b/>
      <w:bCs/>
      <w:i/>
      <w:iCs/>
      <w:color w:val="4F81BD"/>
      <w:kern w:val="2"/>
      <w:sz w:val="21"/>
      <w:szCs w:val="24"/>
    </w:rPr>
  </w:style>
  <w:style w:type="character" w:customStyle="1" w:styleId="129">
    <w:name w:val="Intense Emphasis"/>
    <w:qFormat/>
    <w:uiPriority w:val="0"/>
    <w:rPr>
      <w:b/>
      <w:bCs/>
      <w:i/>
      <w:iCs/>
      <w:color w:val="4F81BD"/>
    </w:rPr>
  </w:style>
  <w:style w:type="character" w:customStyle="1" w:styleId="130">
    <w:name w:val="引用 Char2"/>
    <w:qFormat/>
    <w:uiPriority w:val="0"/>
    <w:rPr>
      <w:i/>
      <w:iCs/>
      <w:color w:val="000000"/>
      <w:kern w:val="2"/>
      <w:sz w:val="21"/>
      <w:szCs w:val="24"/>
    </w:rPr>
  </w:style>
  <w:style w:type="character" w:customStyle="1" w:styleId="131">
    <w:name w:val="Char Char17"/>
    <w:qFormat/>
    <w:uiPriority w:val="0"/>
    <w:rPr>
      <w:rFonts w:ascii="Arial" w:hAnsi="Arial" w:eastAsia="黑体"/>
      <w:b/>
      <w:bCs/>
      <w:kern w:val="2"/>
      <w:sz w:val="32"/>
      <w:szCs w:val="32"/>
      <w:lang w:val="en-US" w:eastAsia="zh-CN" w:bidi="ar-SA"/>
    </w:rPr>
  </w:style>
  <w:style w:type="character" w:customStyle="1" w:styleId="132">
    <w:name w:val="标题 4 字符"/>
    <w:link w:val="6"/>
    <w:qFormat/>
    <w:uiPriority w:val="0"/>
    <w:rPr>
      <w:rFonts w:ascii="Arial" w:hAnsi="Arial" w:eastAsia="黑体"/>
      <w:sz w:val="28"/>
      <w:lang w:val="en-US" w:eastAsia="zh-CN" w:bidi="ar-SA"/>
    </w:rPr>
  </w:style>
  <w:style w:type="character" w:customStyle="1" w:styleId="133">
    <w:name w:val="Subtle Reference"/>
    <w:qFormat/>
    <w:uiPriority w:val="0"/>
    <w:rPr>
      <w:smallCaps/>
      <w:color w:val="C0504D"/>
      <w:u w:val="single"/>
    </w:rPr>
  </w:style>
  <w:style w:type="character" w:customStyle="1" w:styleId="134">
    <w:name w:val="副标题 字符"/>
    <w:link w:val="37"/>
    <w:qFormat/>
    <w:uiPriority w:val="0"/>
    <w:rPr>
      <w:rFonts w:ascii="Arial" w:hAnsi="Arial" w:eastAsia="仿宋_GB2312" w:cs="Arial"/>
      <w:b/>
      <w:bCs/>
      <w:kern w:val="28"/>
      <w:sz w:val="32"/>
      <w:szCs w:val="32"/>
    </w:rPr>
  </w:style>
  <w:style w:type="character" w:customStyle="1" w:styleId="135">
    <w:name w:val="Char Char4"/>
    <w:qFormat/>
    <w:uiPriority w:val="0"/>
    <w:rPr>
      <w:rFonts w:ascii="宋体" w:hAnsi="Courier New" w:eastAsia="宋体" w:cs="Courier New"/>
      <w:kern w:val="2"/>
      <w:sz w:val="21"/>
      <w:szCs w:val="21"/>
      <w:lang w:val="en-US" w:eastAsia="zh-CN" w:bidi="ar-SA"/>
    </w:rPr>
  </w:style>
  <w:style w:type="character" w:customStyle="1" w:styleId="136">
    <w:name w:val="Char Char25"/>
    <w:qFormat/>
    <w:uiPriority w:val="0"/>
    <w:rPr>
      <w:b/>
      <w:bCs/>
      <w:kern w:val="1"/>
      <w:sz w:val="24"/>
      <w:szCs w:val="32"/>
      <w:lang w:eastAsia="ar-SA"/>
    </w:rPr>
  </w:style>
  <w:style w:type="character" w:customStyle="1" w:styleId="137">
    <w:name w:val="引用 字符"/>
    <w:link w:val="138"/>
    <w:qFormat/>
    <w:uiPriority w:val="0"/>
    <w:rPr>
      <w:i/>
      <w:iCs/>
      <w:color w:val="000000"/>
      <w:kern w:val="2"/>
      <w:sz w:val="21"/>
      <w:szCs w:val="22"/>
    </w:rPr>
  </w:style>
  <w:style w:type="paragraph" w:styleId="138">
    <w:name w:val="Quote"/>
    <w:basedOn w:val="1"/>
    <w:next w:val="1"/>
    <w:link w:val="137"/>
    <w:qFormat/>
    <w:uiPriority w:val="0"/>
    <w:rPr>
      <w:i/>
      <w:iCs/>
      <w:color w:val="000000"/>
      <w:szCs w:val="22"/>
    </w:rPr>
  </w:style>
  <w:style w:type="character" w:customStyle="1" w:styleId="139">
    <w:name w:val="脚注文本 字符"/>
    <w:link w:val="39"/>
    <w:qFormat/>
    <w:uiPriority w:val="0"/>
    <w:rPr>
      <w:kern w:val="2"/>
      <w:sz w:val="18"/>
      <w:szCs w:val="18"/>
    </w:rPr>
  </w:style>
  <w:style w:type="character" w:customStyle="1" w:styleId="140">
    <w:name w:val="批注主题 字符"/>
    <w:link w:val="47"/>
    <w:qFormat/>
    <w:uiPriority w:val="0"/>
    <w:rPr>
      <w:rFonts w:eastAsia="宋体"/>
      <w:b/>
      <w:bCs/>
      <w:kern w:val="2"/>
      <w:sz w:val="21"/>
      <w:szCs w:val="24"/>
      <w:lang w:val="en-US" w:eastAsia="zh-CN" w:bidi="ar-SA"/>
    </w:rPr>
  </w:style>
  <w:style w:type="character" w:customStyle="1" w:styleId="141">
    <w:name w:val="纯文本 字符"/>
    <w:qFormat/>
    <w:uiPriority w:val="0"/>
    <w:rPr>
      <w:rFonts w:ascii="宋体" w:hAnsi="Courier New" w:cs="Courier New"/>
      <w:sz w:val="21"/>
      <w:szCs w:val="21"/>
    </w:rPr>
  </w:style>
  <w:style w:type="character" w:customStyle="1" w:styleId="142">
    <w:name w:val="标题 3 字符"/>
    <w:link w:val="5"/>
    <w:qFormat/>
    <w:uiPriority w:val="0"/>
    <w:rPr>
      <w:rFonts w:eastAsia="宋体"/>
      <w:b/>
      <w:sz w:val="32"/>
      <w:lang w:val="en-US" w:eastAsia="zh-CN" w:bidi="ar-SA"/>
    </w:rPr>
  </w:style>
  <w:style w:type="character" w:customStyle="1" w:styleId="143">
    <w:name w:val="日期 字符"/>
    <w:link w:val="28"/>
    <w:qFormat/>
    <w:uiPriority w:val="0"/>
    <w:rPr>
      <w:rFonts w:eastAsia="宋体"/>
      <w:kern w:val="2"/>
      <w:sz w:val="24"/>
      <w:lang w:val="en-US" w:eastAsia="zh-CN" w:bidi="ar-SA"/>
    </w:rPr>
  </w:style>
  <w:style w:type="character" w:customStyle="1" w:styleId="144">
    <w:name w:val="Char Char10"/>
    <w:qFormat/>
    <w:uiPriority w:val="0"/>
    <w:rPr>
      <w:rFonts w:ascii="黑体" w:eastAsia="黑体"/>
      <w:kern w:val="2"/>
      <w:sz w:val="52"/>
      <w:szCs w:val="32"/>
      <w:lang w:val="en-US" w:eastAsia="zh-CN" w:bidi="ar-SA"/>
    </w:rPr>
  </w:style>
  <w:style w:type="character" w:customStyle="1" w:styleId="145">
    <w:name w:val="标题 7 字符"/>
    <w:link w:val="9"/>
    <w:qFormat/>
    <w:uiPriority w:val="0"/>
    <w:rPr>
      <w:b/>
      <w:bCs/>
      <w:sz w:val="24"/>
      <w:szCs w:val="24"/>
    </w:rPr>
  </w:style>
  <w:style w:type="character" w:customStyle="1" w:styleId="146">
    <w:name w:val="称呼 字符"/>
    <w:link w:val="16"/>
    <w:qFormat/>
    <w:uiPriority w:val="0"/>
    <w:rPr>
      <w:rFonts w:ascii="仿宋_GB2312" w:eastAsia="仿宋_GB2312"/>
      <w:kern w:val="2"/>
      <w:sz w:val="28"/>
      <w:lang w:val="en-US" w:eastAsia="zh-CN" w:bidi="ar-SA"/>
    </w:rPr>
  </w:style>
  <w:style w:type="character" w:customStyle="1" w:styleId="147">
    <w:name w:val="日期 Char2"/>
    <w:qFormat/>
    <w:uiPriority w:val="0"/>
    <w:rPr>
      <w:kern w:val="2"/>
      <w:sz w:val="21"/>
      <w:szCs w:val="22"/>
    </w:rPr>
  </w:style>
  <w:style w:type="character" w:customStyle="1" w:styleId="148">
    <w:name w:val="批注文字 Char Char"/>
    <w:qFormat/>
    <w:uiPriority w:val="0"/>
    <w:rPr>
      <w:rFonts w:ascii="宋体" w:hAnsi="Times New Roman" w:eastAsia="宋体" w:cs="Times New Roman"/>
      <w:sz w:val="28"/>
      <w:szCs w:val="20"/>
    </w:rPr>
  </w:style>
  <w:style w:type="character" w:customStyle="1" w:styleId="149">
    <w:name w:val="Char Char18"/>
    <w:qFormat/>
    <w:uiPriority w:val="0"/>
    <w:rPr>
      <w:rFonts w:eastAsia="宋体"/>
      <w:b/>
      <w:bCs/>
      <w:kern w:val="44"/>
      <w:sz w:val="44"/>
      <w:szCs w:val="44"/>
      <w:lang w:val="en-US" w:eastAsia="zh-CN" w:bidi="ar-SA"/>
    </w:rPr>
  </w:style>
  <w:style w:type="character" w:customStyle="1" w:styleId="150">
    <w:name w:val="Char Char19"/>
    <w:qFormat/>
    <w:uiPriority w:val="0"/>
    <w:rPr>
      <w:rFonts w:ascii="Arial" w:hAnsi="Arial" w:eastAsia="黑体"/>
      <w:b/>
      <w:bCs/>
      <w:sz w:val="24"/>
      <w:szCs w:val="24"/>
      <w:lang w:val="en-US" w:eastAsia="zh-CN" w:bidi="ar-SA"/>
    </w:rPr>
  </w:style>
  <w:style w:type="character" w:customStyle="1" w:styleId="151">
    <w:name w:val="标题 8 字符"/>
    <w:link w:val="10"/>
    <w:qFormat/>
    <w:uiPriority w:val="0"/>
    <w:rPr>
      <w:rFonts w:ascii="Arial" w:hAnsi="Arial" w:eastAsia="黑体"/>
      <w:sz w:val="24"/>
      <w:szCs w:val="24"/>
    </w:rPr>
  </w:style>
  <w:style w:type="character" w:customStyle="1" w:styleId="152">
    <w:name w:val="页眉 Char1"/>
    <w:semiHidden/>
    <w:qFormat/>
    <w:uiPriority w:val="0"/>
    <w:rPr>
      <w:rFonts w:ascii="Times New Roman" w:hAnsi="Times New Roman" w:eastAsia="宋体"/>
      <w:kern w:val="2"/>
      <w:sz w:val="18"/>
      <w:szCs w:val="18"/>
    </w:rPr>
  </w:style>
  <w:style w:type="character" w:customStyle="1" w:styleId="153">
    <w:name w:val="Subtle Emphasis"/>
    <w:qFormat/>
    <w:uiPriority w:val="0"/>
    <w:rPr>
      <w:i/>
      <w:iCs/>
      <w:color w:val="808080"/>
    </w:rPr>
  </w:style>
  <w:style w:type="character" w:customStyle="1" w:styleId="154">
    <w:name w:val="标题 Char2"/>
    <w:qFormat/>
    <w:uiPriority w:val="0"/>
    <w:rPr>
      <w:rFonts w:ascii="Cambria" w:hAnsi="Cambria" w:cs="Times New Roman"/>
      <w:b/>
      <w:bCs/>
      <w:kern w:val="2"/>
      <w:sz w:val="32"/>
      <w:szCs w:val="32"/>
    </w:rPr>
  </w:style>
  <w:style w:type="character" w:customStyle="1" w:styleId="155">
    <w:name w:val="font161"/>
    <w:uiPriority w:val="0"/>
    <w:rPr>
      <w:b/>
      <w:bCs/>
      <w:sz w:val="32"/>
      <w:szCs w:val="32"/>
    </w:rPr>
  </w:style>
  <w:style w:type="character" w:customStyle="1" w:styleId="156">
    <w:name w:val="正文文本 2 字符"/>
    <w:link w:val="44"/>
    <w:qFormat/>
    <w:uiPriority w:val="0"/>
    <w:rPr>
      <w:kern w:val="2"/>
      <w:sz w:val="21"/>
      <w:szCs w:val="24"/>
    </w:rPr>
  </w:style>
  <w:style w:type="character" w:customStyle="1" w:styleId="157">
    <w:name w:val="纯文本 字符1"/>
    <w:link w:val="26"/>
    <w:qFormat/>
    <w:uiPriority w:val="0"/>
    <w:rPr>
      <w:rFonts w:ascii="宋体" w:hAnsi="Courier New" w:eastAsia="宋体" w:cs="Courier New"/>
      <w:kern w:val="2"/>
      <w:sz w:val="21"/>
      <w:szCs w:val="21"/>
      <w:lang w:val="en-US" w:eastAsia="zh-CN" w:bidi="ar-SA"/>
    </w:rPr>
  </w:style>
  <w:style w:type="character" w:customStyle="1" w:styleId="158">
    <w:name w:val="明显引用 Char1"/>
    <w:qFormat/>
    <w:uiPriority w:val="0"/>
    <w:rPr>
      <w:i/>
      <w:iCs/>
      <w:color w:val="5B9BD5"/>
      <w:kern w:val="2"/>
      <w:sz w:val="21"/>
      <w:szCs w:val="22"/>
    </w:rPr>
  </w:style>
  <w:style w:type="character" w:customStyle="1" w:styleId="159">
    <w:name w:val="页眉 Char Char"/>
    <w:uiPriority w:val="0"/>
    <w:rPr>
      <w:rFonts w:eastAsia="宋体"/>
      <w:kern w:val="2"/>
      <w:sz w:val="18"/>
      <w:szCs w:val="18"/>
      <w:lang w:val="en-US" w:eastAsia="zh-CN" w:bidi="ar-SA"/>
    </w:rPr>
  </w:style>
  <w:style w:type="character" w:customStyle="1" w:styleId="160">
    <w:name w:val="Book Title"/>
    <w:qFormat/>
    <w:uiPriority w:val="0"/>
    <w:rPr>
      <w:b/>
      <w:bCs/>
      <w:smallCaps/>
      <w:spacing w:val="5"/>
    </w:rPr>
  </w:style>
  <w:style w:type="character" w:customStyle="1" w:styleId="161">
    <w:name w:val="引用 Char1"/>
    <w:uiPriority w:val="0"/>
    <w:rPr>
      <w:i/>
      <w:iCs/>
      <w:color w:val="404040"/>
      <w:kern w:val="2"/>
      <w:sz w:val="21"/>
      <w:szCs w:val="22"/>
    </w:rPr>
  </w:style>
  <w:style w:type="character" w:customStyle="1" w:styleId="162">
    <w:name w:val="页脚 Char Char"/>
    <w:uiPriority w:val="0"/>
    <w:rPr>
      <w:rFonts w:eastAsia="宋体"/>
      <w:kern w:val="2"/>
      <w:sz w:val="18"/>
      <w:szCs w:val="18"/>
      <w:lang w:val="en-US" w:eastAsia="zh-CN" w:bidi="ar-SA"/>
    </w:rPr>
  </w:style>
  <w:style w:type="character" w:customStyle="1" w:styleId="163">
    <w:name w:val="Char Char20"/>
    <w:uiPriority w:val="0"/>
    <w:rPr>
      <w:rFonts w:ascii="宋体" w:hAnsi="宋体" w:eastAsia="宋体"/>
      <w:b/>
      <w:sz w:val="24"/>
      <w:lang w:val="en-US" w:eastAsia="zh-CN" w:bidi="ar-SA"/>
    </w:rPr>
  </w:style>
  <w:style w:type="character" w:customStyle="1" w:styleId="164">
    <w:name w:val="Char Char41"/>
    <w:uiPriority w:val="0"/>
    <w:rPr>
      <w:rFonts w:ascii="仿宋_GB2312" w:eastAsia="仿宋_GB2312"/>
      <w:kern w:val="2"/>
      <w:sz w:val="32"/>
      <w:szCs w:val="32"/>
      <w:lang w:val="en-US" w:eastAsia="zh-CN" w:bidi="ar-SA"/>
    </w:rPr>
  </w:style>
  <w:style w:type="character" w:customStyle="1" w:styleId="165">
    <w:name w:val="WW8Num2z1"/>
    <w:uiPriority w:val="0"/>
    <w:rPr>
      <w:rFonts w:ascii="Wingdings" w:hAnsi="Wingdings"/>
    </w:rPr>
  </w:style>
  <w:style w:type="paragraph" w:customStyle="1" w:styleId="166">
    <w:name w:val="font9"/>
    <w:basedOn w:val="1"/>
    <w:uiPriority w:val="0"/>
    <w:pPr>
      <w:widowControl/>
      <w:spacing w:before="100" w:beforeAutospacing="1" w:after="100" w:afterAutospacing="1"/>
      <w:jc w:val="left"/>
    </w:pPr>
    <w:rPr>
      <w:kern w:val="0"/>
      <w:sz w:val="24"/>
    </w:rPr>
  </w:style>
  <w:style w:type="paragraph" w:customStyle="1" w:styleId="167">
    <w:name w:val="TOC Heading"/>
    <w:basedOn w:val="2"/>
    <w:next w:val="1"/>
    <w:qFormat/>
    <w:uiPriority w:val="0"/>
    <w:pPr>
      <w:keepLines/>
      <w:widowControl w:val="0"/>
      <w:numPr>
        <w:numId w:val="0"/>
      </w:numPr>
      <w:spacing w:before="340" w:after="330" w:line="576" w:lineRule="auto"/>
      <w:jc w:val="both"/>
      <w:outlineLvl w:val="9"/>
    </w:pPr>
    <w:rPr>
      <w:rFonts w:ascii="Calibri" w:hAnsi="Calibri" w:eastAsia="宋体"/>
      <w:b/>
      <w:bCs/>
      <w:kern w:val="44"/>
      <w:sz w:val="44"/>
      <w:szCs w:val="44"/>
    </w:rPr>
  </w:style>
  <w:style w:type="paragraph" w:customStyle="1" w:styleId="168">
    <w:name w:val="Char1 Char Char Char Char Char Char"/>
    <w:basedOn w:val="1"/>
    <w:uiPriority w:val="0"/>
    <w:rPr>
      <w:rFonts w:ascii="Tahoma" w:hAnsi="Tahoma"/>
      <w:sz w:val="24"/>
      <w:szCs w:val="20"/>
    </w:rPr>
  </w:style>
  <w:style w:type="paragraph" w:customStyle="1" w:styleId="169">
    <w:name w:val="xl36"/>
    <w:basedOn w:val="1"/>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center"/>
      <w:textAlignment w:val="center"/>
    </w:pPr>
    <w:rPr>
      <w:kern w:val="0"/>
      <w:sz w:val="24"/>
    </w:rPr>
  </w:style>
  <w:style w:type="paragraph" w:customStyle="1" w:styleId="170">
    <w:name w:val="4"/>
    <w:basedOn w:val="14"/>
    <w:uiPriority w:val="0"/>
    <w:pPr>
      <w:adjustRightInd w:val="0"/>
      <w:spacing w:line="436" w:lineRule="exact"/>
      <w:ind w:left="357"/>
      <w:jc w:val="left"/>
      <w:textAlignment w:val="baseline"/>
      <w:outlineLvl w:val="3"/>
    </w:pPr>
    <w:rPr>
      <w:rFonts w:ascii="Tahoma" w:hAnsi="Tahoma"/>
      <w:b/>
      <w:sz w:val="24"/>
    </w:rPr>
  </w:style>
  <w:style w:type="paragraph" w:customStyle="1" w:styleId="171">
    <w:name w:val="Revision"/>
    <w:uiPriority w:val="99"/>
    <w:rPr>
      <w:rFonts w:ascii="Times New Roman" w:hAnsi="Times New Roman" w:eastAsia="宋体" w:cs="Times New Roman"/>
      <w:kern w:val="2"/>
      <w:sz w:val="21"/>
      <w:szCs w:val="24"/>
      <w:lang w:val="en-US" w:eastAsia="zh-CN" w:bidi="ar-SA"/>
    </w:rPr>
  </w:style>
  <w:style w:type="paragraph" w:customStyle="1" w:styleId="172">
    <w:name w:val="纯文本2"/>
    <w:basedOn w:val="1"/>
    <w:uiPriority w:val="0"/>
    <w:rPr>
      <w:rFonts w:ascii="宋体" w:hAnsi="Courier New"/>
      <w:szCs w:val="21"/>
    </w:rPr>
  </w:style>
  <w:style w:type="paragraph" w:customStyle="1" w:styleId="173">
    <w:name w:val="正文1"/>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paragraph" w:customStyle="1" w:styleId="174">
    <w:name w:val="列表段落1"/>
    <w:basedOn w:val="1"/>
    <w:uiPriority w:val="0"/>
    <w:pPr>
      <w:ind w:firstLine="420" w:firstLineChars="200"/>
    </w:pPr>
  </w:style>
  <w:style w:type="paragraph" w:customStyle="1" w:styleId="175">
    <w:name w:val="Table Heading"/>
    <w:basedOn w:val="176"/>
    <w:uiPriority w:val="0"/>
    <w:pPr>
      <w:jc w:val="center"/>
    </w:pPr>
    <w:rPr>
      <w:b/>
      <w:bCs/>
    </w:rPr>
  </w:style>
  <w:style w:type="paragraph" w:customStyle="1" w:styleId="176">
    <w:name w:val="Table Contents"/>
    <w:basedOn w:val="1"/>
    <w:uiPriority w:val="0"/>
    <w:pPr>
      <w:suppressLineNumbers/>
      <w:suppressAutoHyphens/>
      <w:spacing w:line="360" w:lineRule="auto"/>
      <w:ind w:firstLine="420"/>
    </w:pPr>
    <w:rPr>
      <w:kern w:val="1"/>
      <w:sz w:val="28"/>
      <w:szCs w:val="28"/>
      <w:lang w:eastAsia="ar-SA"/>
    </w:rPr>
  </w:style>
  <w:style w:type="paragraph" w:customStyle="1" w:styleId="177">
    <w:name w:val="blockquote"/>
    <w:basedOn w:val="1"/>
    <w:uiPriority w:val="0"/>
    <w:pPr>
      <w:widowControl/>
      <w:spacing w:before="100" w:beforeAutospacing="1" w:after="100" w:afterAutospacing="1"/>
      <w:jc w:val="left"/>
    </w:pPr>
    <w:rPr>
      <w:rFonts w:ascii="宋体" w:hAnsi="宋体" w:cs="宋体"/>
      <w:kern w:val="0"/>
      <w:sz w:val="24"/>
    </w:rPr>
  </w:style>
  <w:style w:type="paragraph" w:customStyle="1" w:styleId="178">
    <w:name w:val="p0"/>
    <w:basedOn w:val="1"/>
    <w:uiPriority w:val="0"/>
    <w:pPr>
      <w:widowControl/>
    </w:pPr>
    <w:rPr>
      <w:rFonts w:ascii="仿宋_GB2312" w:eastAsia="仿宋_GB2312" w:cs="宋体"/>
      <w:kern w:val="0"/>
      <w:sz w:val="32"/>
      <w:szCs w:val="21"/>
    </w:rPr>
  </w:style>
  <w:style w:type="paragraph" w:customStyle="1" w:styleId="179">
    <w:name w:val="xl43"/>
    <w:basedOn w:val="1"/>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right"/>
      <w:textAlignment w:val="center"/>
    </w:pPr>
    <w:rPr>
      <w:rFonts w:hint="eastAsia" w:ascii="黑体" w:hAnsi="宋体" w:eastAsia="黑体"/>
      <w:kern w:val="0"/>
      <w:sz w:val="24"/>
    </w:rPr>
  </w:style>
  <w:style w:type="paragraph" w:customStyle="1" w:styleId="180">
    <w:name w:val="xl32"/>
    <w:basedOn w:val="1"/>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left"/>
    </w:pPr>
    <w:rPr>
      <w:rFonts w:ascii="宋体" w:hAnsi="宋体"/>
      <w:kern w:val="0"/>
      <w:sz w:val="24"/>
    </w:rPr>
  </w:style>
  <w:style w:type="paragraph" w:customStyle="1" w:styleId="181">
    <w:name w:val="样式 标题 3 + (中文) 黑体 小四 非加粗 段前: 7.8 磅 段后: 0 磅 行距: 固定值 20 磅"/>
    <w:basedOn w:val="5"/>
    <w:uiPriority w:val="0"/>
    <w:pPr>
      <w:widowControl w:val="0"/>
      <w:numPr>
        <w:ilvl w:val="0"/>
        <w:numId w:val="0"/>
      </w:numPr>
      <w:tabs>
        <w:tab w:val="clear" w:pos="720"/>
      </w:tabs>
      <w:spacing w:before="0" w:after="0" w:line="400" w:lineRule="exact"/>
      <w:jc w:val="both"/>
    </w:pPr>
    <w:rPr>
      <w:rFonts w:eastAsia="黑体" w:cs="宋体"/>
      <w:b w:val="0"/>
      <w:kern w:val="2"/>
      <w:sz w:val="24"/>
    </w:rPr>
  </w:style>
  <w:style w:type="paragraph" w:customStyle="1" w:styleId="182">
    <w:name w:val="xl24"/>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hint="eastAsia" w:ascii="黑体" w:hAnsi="宋体" w:eastAsia="黑体"/>
      <w:kern w:val="0"/>
      <w:sz w:val="24"/>
    </w:rPr>
  </w:style>
  <w:style w:type="paragraph" w:customStyle="1" w:styleId="183">
    <w:name w:val="默认段落字体 Para Char Char Char Char Char Char Char Char Char1 Char Char Char Char Char Char Char"/>
    <w:basedOn w:val="14"/>
    <w:qFormat/>
    <w:uiPriority w:val="0"/>
    <w:rPr>
      <w:rFonts w:ascii="Tahoma" w:hAnsi="Tahoma" w:cs="Tahoma"/>
      <w:sz w:val="24"/>
    </w:rPr>
  </w:style>
  <w:style w:type="paragraph" w:customStyle="1" w:styleId="184">
    <w:name w:val="Char Char Char Char Char Char"/>
    <w:basedOn w:val="1"/>
    <w:uiPriority w:val="0"/>
    <w:rPr>
      <w:rFonts w:ascii="Tahoma" w:hAnsi="Tahoma"/>
      <w:sz w:val="24"/>
      <w:szCs w:val="20"/>
    </w:rPr>
  </w:style>
  <w:style w:type="paragraph" w:customStyle="1" w:styleId="185">
    <w:name w:val="Char Char Char Char Char"/>
    <w:basedOn w:val="1"/>
    <w:uiPriority w:val="0"/>
    <w:rPr>
      <w:rFonts w:ascii="Tahoma" w:hAnsi="Tahoma" w:eastAsia="仿宋_GB2312"/>
      <w:sz w:val="24"/>
      <w:szCs w:val="20"/>
    </w:rPr>
  </w:style>
  <w:style w:type="paragraph" w:customStyle="1" w:styleId="186">
    <w:name w:val="flNote"/>
    <w:basedOn w:val="1"/>
    <w:qFormat/>
    <w:uiPriority w:val="0"/>
    <w:pPr>
      <w:adjustRightInd w:val="0"/>
      <w:spacing w:before="320" w:after="160" w:line="360" w:lineRule="atLeast"/>
      <w:jc w:val="center"/>
      <w:textAlignment w:val="baseline"/>
    </w:pPr>
    <w:rPr>
      <w:rFonts w:ascii="Arial" w:eastAsia="黑体"/>
      <w:kern w:val="0"/>
      <w:sz w:val="30"/>
      <w:szCs w:val="20"/>
    </w:rPr>
  </w:style>
  <w:style w:type="paragraph" w:customStyle="1" w:styleId="187">
    <w:name w:val="Char Char"/>
    <w:basedOn w:val="1"/>
    <w:uiPriority w:val="0"/>
  </w:style>
  <w:style w:type="paragraph" w:customStyle="1" w:styleId="188">
    <w:name w:val="表格文字"/>
    <w:basedOn w:val="1"/>
    <w:uiPriority w:val="0"/>
    <w:pPr>
      <w:adjustRightInd w:val="0"/>
      <w:spacing w:line="420" w:lineRule="atLeast"/>
      <w:jc w:val="left"/>
      <w:textAlignment w:val="baseline"/>
    </w:pPr>
    <w:rPr>
      <w:kern w:val="0"/>
      <w:szCs w:val="20"/>
    </w:rPr>
  </w:style>
  <w:style w:type="paragraph" w:customStyle="1" w:styleId="189">
    <w:name w:val="范本目录"/>
    <w:basedOn w:val="1"/>
    <w:uiPriority w:val="0"/>
    <w:pPr>
      <w:adjustRightInd w:val="0"/>
      <w:snapToGrid w:val="0"/>
      <w:spacing w:before="48" w:beforeLines="20" w:after="48" w:afterLines="20" w:line="540" w:lineRule="exact"/>
      <w:jc w:val="center"/>
    </w:pPr>
    <w:rPr>
      <w:rFonts w:ascii="仿宋_GB2312" w:hAnsi="宋体" w:eastAsia="仿宋_GB2312"/>
      <w:b/>
      <w:bCs/>
      <w:sz w:val="36"/>
      <w:szCs w:val="32"/>
    </w:rPr>
  </w:style>
  <w:style w:type="paragraph" w:customStyle="1" w:styleId="190">
    <w:name w:val="Char Char Char Char"/>
    <w:basedOn w:val="1"/>
    <w:uiPriority w:val="0"/>
    <w:pPr>
      <w:widowControl/>
      <w:spacing w:after="160" w:line="240" w:lineRule="exact"/>
      <w:jc w:val="left"/>
    </w:pPr>
    <w:rPr>
      <w:rFonts w:ascii="Tahoma" w:hAnsi="Tahoma" w:eastAsia="Times New Roman"/>
      <w:kern w:val="0"/>
      <w:sz w:val="20"/>
      <w:szCs w:val="20"/>
      <w:lang w:eastAsia="en-US"/>
    </w:rPr>
  </w:style>
  <w:style w:type="paragraph" w:customStyle="1" w:styleId="191">
    <w:name w:val="_Style 5"/>
    <w:basedOn w:val="1"/>
    <w:uiPriority w:val="0"/>
    <w:pPr>
      <w:snapToGrid w:val="0"/>
      <w:spacing w:line="360" w:lineRule="auto"/>
      <w:ind w:firstLine="200" w:firstLineChars="200"/>
    </w:pPr>
    <w:rPr>
      <w:szCs w:val="20"/>
      <w:lang w:val="de-DE"/>
    </w:rPr>
  </w:style>
  <w:style w:type="paragraph" w:customStyle="1" w:styleId="192">
    <w:name w:val="Char Char Char Char Char Char Char Char Char Char Char Char Char Char Char Char Char Char Char Char Char Char Char Char Char"/>
    <w:basedOn w:val="1"/>
    <w:uiPriority w:val="0"/>
    <w:pPr>
      <w:snapToGrid w:val="0"/>
      <w:spacing w:line="360" w:lineRule="auto"/>
      <w:ind w:firstLine="200" w:firstLineChars="200"/>
    </w:pPr>
  </w:style>
  <w:style w:type="paragraph" w:customStyle="1" w:styleId="193">
    <w:name w:val="Char1"/>
    <w:basedOn w:val="1"/>
    <w:uiPriority w:val="0"/>
    <w:rPr>
      <w:rFonts w:ascii="Tahoma" w:hAnsi="Tahoma"/>
      <w:sz w:val="24"/>
      <w:szCs w:val="20"/>
    </w:rPr>
  </w:style>
  <w:style w:type="paragraph" w:customStyle="1" w:styleId="194">
    <w:name w:val="xl33"/>
    <w:basedOn w:val="1"/>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center"/>
      <w:textAlignment w:val="center"/>
    </w:pPr>
    <w:rPr>
      <w:rFonts w:hint="eastAsia" w:ascii="黑体" w:hAnsi="宋体" w:eastAsia="黑体"/>
      <w:b/>
      <w:bCs/>
      <w:kern w:val="0"/>
      <w:sz w:val="24"/>
    </w:rPr>
  </w:style>
  <w:style w:type="paragraph" w:customStyle="1" w:styleId="195">
    <w:name w:val="font6"/>
    <w:basedOn w:val="1"/>
    <w:uiPriority w:val="0"/>
    <w:pPr>
      <w:widowControl/>
      <w:spacing w:before="100" w:beforeAutospacing="1" w:after="100" w:afterAutospacing="1"/>
      <w:jc w:val="left"/>
    </w:pPr>
    <w:rPr>
      <w:rFonts w:hint="eastAsia" w:ascii="仿宋_GB2312" w:hAnsi="宋体" w:eastAsia="仿宋_GB2312"/>
      <w:kern w:val="0"/>
      <w:sz w:val="24"/>
    </w:rPr>
  </w:style>
  <w:style w:type="paragraph" w:customStyle="1" w:styleId="196">
    <w:name w:val="Blockquote"/>
    <w:basedOn w:val="1"/>
    <w:qFormat/>
    <w:uiPriority w:val="0"/>
    <w:pPr>
      <w:autoSpaceDE w:val="0"/>
      <w:autoSpaceDN w:val="0"/>
      <w:adjustRightInd w:val="0"/>
      <w:spacing w:before="100" w:after="100"/>
      <w:ind w:left="360" w:right="360"/>
      <w:jc w:val="left"/>
    </w:pPr>
    <w:rPr>
      <w:kern w:val="0"/>
      <w:sz w:val="24"/>
      <w:szCs w:val="20"/>
    </w:rPr>
  </w:style>
  <w:style w:type="paragraph" w:customStyle="1" w:styleId="197">
    <w:name w:val="正文2"/>
    <w:qFormat/>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paragraph" w:customStyle="1" w:styleId="198">
    <w:name w:val="Default Paragraph Char Char Char Char"/>
    <w:basedOn w:val="1"/>
    <w:next w:val="1"/>
    <w:uiPriority w:val="0"/>
    <w:pPr>
      <w:widowControl/>
      <w:spacing w:line="360" w:lineRule="auto"/>
      <w:jc w:val="left"/>
    </w:pPr>
    <w:rPr>
      <w:kern w:val="0"/>
      <w:szCs w:val="20"/>
      <w:lang w:eastAsia="en-US"/>
    </w:rPr>
  </w:style>
  <w:style w:type="paragraph" w:customStyle="1" w:styleId="199">
    <w:name w:val="Char Char1 Char Char Char"/>
    <w:basedOn w:val="1"/>
    <w:uiPriority w:val="0"/>
    <w:rPr>
      <w:kern w:val="0"/>
      <w:sz w:val="20"/>
      <w:szCs w:val="20"/>
    </w:rPr>
  </w:style>
  <w:style w:type="paragraph" w:customStyle="1" w:styleId="200">
    <w:name w:val="xl41"/>
    <w:basedOn w:val="1"/>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right"/>
      <w:textAlignment w:val="center"/>
    </w:pPr>
    <w:rPr>
      <w:rFonts w:hint="eastAsia" w:ascii="黑体" w:hAnsi="宋体" w:eastAsia="黑体"/>
      <w:kern w:val="0"/>
      <w:sz w:val="24"/>
    </w:rPr>
  </w:style>
  <w:style w:type="paragraph" w:customStyle="1" w:styleId="201">
    <w:name w:val="xl44"/>
    <w:basedOn w:val="1"/>
    <w:uiPriority w:val="0"/>
    <w:pPr>
      <w:widowControl/>
      <w:spacing w:before="100" w:beforeAutospacing="1" w:after="100" w:afterAutospacing="1"/>
      <w:jc w:val="center"/>
      <w:textAlignment w:val="center"/>
    </w:pPr>
    <w:rPr>
      <w:rFonts w:ascii="宋体" w:hAnsi="宋体" w:eastAsia="仿宋_GB2312"/>
      <w:b/>
      <w:bCs/>
      <w:kern w:val="0"/>
      <w:sz w:val="32"/>
      <w:szCs w:val="32"/>
    </w:rPr>
  </w:style>
  <w:style w:type="paragraph" w:customStyle="1" w:styleId="202">
    <w:name w:val="xl45"/>
    <w:basedOn w:val="1"/>
    <w:uiPriority w:val="0"/>
    <w:pPr>
      <w:widowControl/>
      <w:spacing w:before="100" w:beforeAutospacing="1" w:after="100" w:afterAutospacing="1"/>
      <w:jc w:val="left"/>
      <w:textAlignment w:val="top"/>
    </w:pPr>
    <w:rPr>
      <w:rFonts w:ascii="宋体" w:hAnsi="宋体" w:eastAsia="仿宋_GB2312"/>
      <w:kern w:val="0"/>
      <w:sz w:val="24"/>
      <w:szCs w:val="32"/>
    </w:rPr>
  </w:style>
  <w:style w:type="paragraph" w:customStyle="1" w:styleId="203">
    <w:name w:val="6'"/>
    <w:basedOn w:val="1"/>
    <w:uiPriority w:val="0"/>
    <w:pPr>
      <w:autoSpaceDE w:val="0"/>
      <w:autoSpaceDN w:val="0"/>
      <w:adjustRightInd w:val="0"/>
      <w:snapToGrid w:val="0"/>
      <w:spacing w:line="320" w:lineRule="exact"/>
      <w:jc w:val="center"/>
      <w:textAlignment w:val="baseline"/>
    </w:pPr>
    <w:rPr>
      <w:spacing w:val="20"/>
      <w:kern w:val="28"/>
      <w:szCs w:val="20"/>
    </w:rPr>
  </w:style>
  <w:style w:type="paragraph" w:customStyle="1" w:styleId="204">
    <w:name w:val="1"/>
    <w:basedOn w:val="1"/>
    <w:next w:val="1"/>
    <w:uiPriority w:val="0"/>
    <w:pPr>
      <w:adjustRightInd w:val="0"/>
      <w:snapToGrid w:val="0"/>
    </w:pPr>
    <w:rPr>
      <w:rFonts w:ascii="仿宋_GB2312" w:hAnsi="宋体" w:eastAsia="仿宋_GB2312"/>
      <w:color w:val="000000"/>
      <w:sz w:val="24"/>
    </w:rPr>
  </w:style>
  <w:style w:type="paragraph" w:customStyle="1" w:styleId="205">
    <w:name w:val="xl39"/>
    <w:basedOn w:val="1"/>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center"/>
      <w:textAlignment w:val="center"/>
    </w:pPr>
    <w:rPr>
      <w:rFonts w:hint="eastAsia" w:ascii="黑体" w:hAnsi="宋体" w:eastAsia="黑体"/>
      <w:kern w:val="0"/>
      <w:sz w:val="24"/>
    </w:rPr>
  </w:style>
  <w:style w:type="paragraph" w:customStyle="1" w:styleId="206">
    <w:name w:val="普通 (Web)"/>
    <w:basedOn w:val="1"/>
    <w:uiPriority w:val="0"/>
    <w:pPr>
      <w:widowControl/>
      <w:spacing w:before="100" w:beforeAutospacing="1" w:after="100" w:afterAutospacing="1"/>
      <w:jc w:val="left"/>
    </w:pPr>
    <w:rPr>
      <w:rFonts w:ascii="宋体" w:hAnsi="宋体" w:eastAsia="仿宋_GB2312"/>
      <w:kern w:val="0"/>
      <w:sz w:val="24"/>
      <w:szCs w:val="32"/>
    </w:rPr>
  </w:style>
  <w:style w:type="paragraph" w:customStyle="1" w:styleId="207">
    <w:name w:val="xl35"/>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center"/>
      <w:textAlignment w:val="center"/>
    </w:pPr>
    <w:rPr>
      <w:rFonts w:hint="eastAsia" w:ascii="黑体" w:hAnsi="宋体" w:eastAsia="黑体"/>
      <w:kern w:val="0"/>
      <w:sz w:val="24"/>
    </w:rPr>
  </w:style>
  <w:style w:type="paragraph" w:customStyle="1" w:styleId="208">
    <w:name w:val="表格"/>
    <w:basedOn w:val="1"/>
    <w:uiPriority w:val="0"/>
    <w:pPr>
      <w:jc w:val="center"/>
      <w:textAlignment w:val="center"/>
    </w:pPr>
    <w:rPr>
      <w:rFonts w:ascii="华文细黑" w:hAnsi="华文细黑"/>
      <w:kern w:val="0"/>
      <w:szCs w:val="20"/>
    </w:rPr>
  </w:style>
  <w:style w:type="paragraph" w:customStyle="1" w:styleId="209">
    <w:name w:val="2"/>
    <w:basedOn w:val="1"/>
    <w:uiPriority w:val="0"/>
    <w:rPr>
      <w:rFonts w:ascii="Tahoma" w:hAnsi="Tahoma"/>
      <w:sz w:val="24"/>
      <w:szCs w:val="20"/>
    </w:rPr>
  </w:style>
  <w:style w:type="paragraph" w:customStyle="1" w:styleId="210">
    <w:name w:val="xl40"/>
    <w:basedOn w:val="1"/>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center"/>
      <w:textAlignment w:val="center"/>
    </w:pPr>
    <w:rPr>
      <w:kern w:val="0"/>
      <w:sz w:val="24"/>
    </w:rPr>
  </w:style>
  <w:style w:type="paragraph" w:customStyle="1" w:styleId="211">
    <w:name w:val="xl30"/>
    <w:basedOn w:val="1"/>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jc w:val="center"/>
      <w:textAlignment w:val="center"/>
    </w:pPr>
    <w:rPr>
      <w:rFonts w:hint="eastAsia" w:ascii="黑体" w:hAnsi="宋体" w:eastAsia="黑体"/>
      <w:kern w:val="0"/>
      <w:sz w:val="24"/>
    </w:rPr>
  </w:style>
  <w:style w:type="paragraph" w:customStyle="1" w:styleId="212">
    <w:name w:val="Char Char Char Char Char Char Char"/>
    <w:basedOn w:val="1"/>
    <w:uiPriority w:val="0"/>
    <w:rPr>
      <w:szCs w:val="20"/>
    </w:rPr>
  </w:style>
  <w:style w:type="paragraph" w:customStyle="1" w:styleId="213">
    <w:name w:val="样式1"/>
    <w:basedOn w:val="1"/>
    <w:uiPriority w:val="0"/>
    <w:pPr>
      <w:spacing w:before="120" w:after="120" w:line="300" w:lineRule="auto"/>
    </w:pPr>
    <w:rPr>
      <w:rFonts w:ascii="宋体" w:hAnsi="宋体"/>
      <w:b/>
      <w:sz w:val="24"/>
      <w:szCs w:val="20"/>
    </w:rPr>
  </w:style>
  <w:style w:type="paragraph" w:customStyle="1" w:styleId="214">
    <w:name w:val="xl29"/>
    <w:basedOn w:val="1"/>
    <w:uiPriority w:val="0"/>
    <w:pPr>
      <w:widowControl/>
      <w:pBdr>
        <w:top w:val="single" w:color="auto" w:sz="8" w:space="0"/>
        <w:left w:val="single" w:color="auto" w:sz="8" w:space="0"/>
        <w:bottom w:val="single" w:color="auto" w:sz="4" w:space="0"/>
        <w:right w:val="single" w:color="auto" w:sz="4" w:space="0"/>
      </w:pBdr>
      <w:spacing w:before="100" w:beforeAutospacing="1" w:after="100" w:afterAutospacing="1"/>
      <w:jc w:val="left"/>
    </w:pPr>
    <w:rPr>
      <w:rFonts w:ascii="宋体" w:hAnsi="宋体"/>
      <w:kern w:val="0"/>
      <w:sz w:val="24"/>
    </w:rPr>
  </w:style>
  <w:style w:type="paragraph" w:customStyle="1" w:styleId="215">
    <w:name w:val="xl31"/>
    <w:basedOn w:val="1"/>
    <w:uiPriority w:val="0"/>
    <w:pPr>
      <w:widowControl/>
      <w:pBdr>
        <w:top w:val="single" w:color="auto" w:sz="8" w:space="0"/>
        <w:left w:val="single" w:color="auto" w:sz="4" w:space="0"/>
        <w:bottom w:val="single" w:color="auto" w:sz="4" w:space="0"/>
        <w:right w:val="single" w:color="auto" w:sz="8" w:space="0"/>
      </w:pBdr>
      <w:spacing w:before="100" w:beforeAutospacing="1" w:after="100" w:afterAutospacing="1"/>
      <w:jc w:val="center"/>
      <w:textAlignment w:val="center"/>
    </w:pPr>
    <w:rPr>
      <w:rFonts w:hint="eastAsia" w:ascii="黑体" w:hAnsi="宋体" w:eastAsia="黑体"/>
      <w:kern w:val="0"/>
      <w:sz w:val="24"/>
    </w:rPr>
  </w:style>
  <w:style w:type="paragraph" w:customStyle="1" w:styleId="216">
    <w:name w:val="font5"/>
    <w:basedOn w:val="1"/>
    <w:uiPriority w:val="0"/>
    <w:pPr>
      <w:widowControl/>
      <w:spacing w:before="100" w:beforeAutospacing="1" w:after="100" w:afterAutospacing="1"/>
      <w:jc w:val="left"/>
    </w:pPr>
    <w:rPr>
      <w:rFonts w:hint="eastAsia" w:ascii="宋体" w:hAnsi="宋体"/>
      <w:kern w:val="0"/>
      <w:sz w:val="18"/>
      <w:szCs w:val="18"/>
    </w:rPr>
  </w:style>
  <w:style w:type="paragraph" w:customStyle="1" w:styleId="217">
    <w:name w:val="Char"/>
    <w:basedOn w:val="1"/>
    <w:next w:val="1"/>
    <w:uiPriority w:val="0"/>
    <w:pPr>
      <w:widowControl/>
      <w:spacing w:line="360" w:lineRule="auto"/>
      <w:jc w:val="left"/>
    </w:pPr>
    <w:rPr>
      <w:rFonts w:ascii="仿宋_GB2312" w:eastAsia="仿宋_GB2312"/>
      <w:kern w:val="0"/>
      <w:sz w:val="32"/>
      <w:szCs w:val="20"/>
      <w:lang w:eastAsia="en-US"/>
    </w:rPr>
  </w:style>
  <w:style w:type="paragraph" w:customStyle="1" w:styleId="218">
    <w:name w:val="xl37"/>
    <w:basedOn w:val="1"/>
    <w:qFormat/>
    <w:uiPriority w:val="0"/>
    <w:pPr>
      <w:widowControl/>
      <w:pBdr>
        <w:top w:val="single" w:color="auto" w:sz="4" w:space="0"/>
        <w:left w:val="single" w:color="auto" w:sz="8" w:space="0"/>
        <w:bottom w:val="single" w:color="auto" w:sz="8" w:space="0"/>
        <w:right w:val="single" w:color="auto" w:sz="4" w:space="0"/>
      </w:pBdr>
      <w:spacing w:before="100" w:beforeAutospacing="1" w:after="100" w:afterAutospacing="1"/>
      <w:jc w:val="left"/>
    </w:pPr>
    <w:rPr>
      <w:rFonts w:ascii="宋体" w:hAnsi="宋体"/>
      <w:kern w:val="0"/>
      <w:sz w:val="24"/>
    </w:rPr>
  </w:style>
  <w:style w:type="paragraph" w:customStyle="1" w:styleId="219">
    <w:name w:val="三级标题"/>
    <w:basedOn w:val="5"/>
    <w:qFormat/>
    <w:uiPriority w:val="0"/>
    <w:pPr>
      <w:widowControl w:val="0"/>
      <w:numPr>
        <w:ilvl w:val="0"/>
        <w:numId w:val="0"/>
      </w:numPr>
      <w:tabs>
        <w:tab w:val="clear" w:pos="720"/>
      </w:tabs>
      <w:spacing w:line="413" w:lineRule="auto"/>
      <w:ind w:firstLine="600" w:firstLineChars="200"/>
      <w:jc w:val="both"/>
    </w:pPr>
    <w:rPr>
      <w:rFonts w:eastAsia="仿宋_GB2312"/>
      <w:b w:val="0"/>
      <w:color w:val="000000"/>
      <w:sz w:val="30"/>
      <w:szCs w:val="32"/>
    </w:rPr>
  </w:style>
  <w:style w:type="paragraph" w:customStyle="1" w:styleId="220">
    <w:name w:val="xl34"/>
    <w:basedOn w:val="1"/>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textAlignment w:val="center"/>
    </w:pPr>
    <w:rPr>
      <w:rFonts w:ascii="宋体" w:hAnsi="宋体"/>
      <w:b/>
      <w:bCs/>
      <w:i/>
      <w:iCs/>
      <w:kern w:val="0"/>
      <w:sz w:val="24"/>
    </w:rPr>
  </w:style>
  <w:style w:type="paragraph" w:customStyle="1" w:styleId="221">
    <w:name w:val="目录文字"/>
    <w:basedOn w:val="1"/>
    <w:qFormat/>
    <w:uiPriority w:val="0"/>
    <w:pPr>
      <w:widowControl/>
      <w:spacing w:line="480" w:lineRule="auto"/>
      <w:jc w:val="left"/>
    </w:pPr>
    <w:rPr>
      <w:rFonts w:ascii="宋体" w:hAnsi="宋体"/>
      <w:kern w:val="0"/>
      <w:sz w:val="24"/>
      <w:szCs w:val="20"/>
    </w:rPr>
  </w:style>
  <w:style w:type="paragraph" w:customStyle="1" w:styleId="222">
    <w:name w:val="普通(网站)1"/>
    <w:basedOn w:val="1"/>
    <w:qFormat/>
    <w:uiPriority w:val="0"/>
    <w:pPr>
      <w:widowControl/>
      <w:spacing w:before="100" w:beforeAutospacing="1" w:after="100" w:afterAutospacing="1"/>
      <w:jc w:val="left"/>
    </w:pPr>
    <w:rPr>
      <w:rFonts w:ascii="宋体"/>
      <w:kern w:val="0"/>
      <w:sz w:val="24"/>
    </w:rPr>
  </w:style>
  <w:style w:type="paragraph" w:customStyle="1" w:styleId="223">
    <w:name w:val="默认段落字体 Para Char Char Char Char Char Char Char"/>
    <w:basedOn w:val="1"/>
    <w:qFormat/>
    <w:uiPriority w:val="0"/>
  </w:style>
  <w:style w:type="paragraph" w:styleId="224">
    <w:name w:val="No Spacing"/>
    <w:qFormat/>
    <w:uiPriority w:val="0"/>
    <w:pPr>
      <w:widowControl w:val="0"/>
      <w:jc w:val="both"/>
    </w:pPr>
    <w:rPr>
      <w:rFonts w:ascii="Calibri" w:hAnsi="Calibri" w:eastAsia="宋体" w:cs="Times New Roman"/>
      <w:kern w:val="2"/>
      <w:sz w:val="21"/>
      <w:szCs w:val="22"/>
      <w:lang w:val="en-US" w:eastAsia="zh-CN" w:bidi="ar-SA"/>
    </w:rPr>
  </w:style>
  <w:style w:type="paragraph" w:customStyle="1" w:styleId="225">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b/>
      <w:bCs/>
      <w:i/>
      <w:iCs/>
      <w:kern w:val="0"/>
      <w:sz w:val="24"/>
    </w:rPr>
  </w:style>
  <w:style w:type="paragraph" w:customStyle="1" w:styleId="226">
    <w:name w:val="样式 标题 2 + Times New Roman 四号 非加粗 段前: 5 磅 段后: 0 磅 行距: 固定值 20..."/>
    <w:basedOn w:val="3"/>
    <w:qFormat/>
    <w:uiPriority w:val="0"/>
    <w:pPr>
      <w:widowControl w:val="0"/>
      <w:spacing w:before="100" w:after="0" w:line="400" w:lineRule="exact"/>
      <w:jc w:val="both"/>
    </w:pPr>
    <w:rPr>
      <w:rFonts w:ascii="Times New Roman" w:hAnsi="Times New Roman" w:cs="宋体"/>
      <w:b w:val="0"/>
      <w:kern w:val="2"/>
      <w:sz w:val="28"/>
    </w:rPr>
  </w:style>
  <w:style w:type="paragraph" w:customStyle="1" w:styleId="227">
    <w:name w:val="xl191"/>
    <w:basedOn w:val="1"/>
    <w:qFormat/>
    <w:uiPriority w:val="0"/>
    <w:pPr>
      <w:widowControl/>
      <w:pBdr>
        <w:top w:val="single" w:color="auto" w:sz="4" w:space="0"/>
        <w:left w:val="single" w:color="auto" w:sz="4" w:space="0"/>
        <w:bottom w:val="single" w:color="auto" w:sz="4" w:space="0"/>
        <w:right w:val="single" w:color="auto" w:sz="4" w:space="0"/>
      </w:pBdr>
      <w:shd w:val="clear" w:color="auto" w:fill="C0C0C0"/>
      <w:spacing w:before="100" w:beforeAutospacing="1" w:after="100" w:afterAutospacing="1"/>
      <w:jc w:val="center"/>
    </w:pPr>
    <w:rPr>
      <w:rFonts w:ascii="宋体" w:hAnsi="宋体"/>
      <w:b/>
      <w:bCs/>
      <w:kern w:val="0"/>
      <w:sz w:val="18"/>
      <w:szCs w:val="18"/>
    </w:rPr>
  </w:style>
  <w:style w:type="paragraph" w:customStyle="1" w:styleId="228">
    <w:name w:val="xl38"/>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center"/>
      <w:textAlignment w:val="center"/>
    </w:pPr>
    <w:rPr>
      <w:rFonts w:hint="eastAsia" w:ascii="仿宋_GB2312" w:hAnsi="宋体" w:eastAsia="仿宋_GB2312"/>
      <w:kern w:val="0"/>
      <w:sz w:val="24"/>
    </w:rPr>
  </w:style>
  <w:style w:type="paragraph" w:customStyle="1" w:styleId="229">
    <w:name w:val="缩进 Char Char Char Char"/>
    <w:basedOn w:val="4"/>
    <w:qFormat/>
    <w:uiPriority w:val="0"/>
    <w:pPr>
      <w:spacing w:before="156" w:beforeLines="50" w:after="156" w:afterLines="50" w:line="360" w:lineRule="auto"/>
      <w:ind w:firstLine="480"/>
    </w:pPr>
    <w:rPr>
      <w:rFonts w:ascii="黑体" w:hAnsi="黑体"/>
      <w:kern w:val="0"/>
      <w:sz w:val="24"/>
    </w:rPr>
  </w:style>
  <w:style w:type="paragraph" w:customStyle="1" w:styleId="230">
    <w:name w:val="font8"/>
    <w:basedOn w:val="1"/>
    <w:qFormat/>
    <w:uiPriority w:val="0"/>
    <w:pPr>
      <w:widowControl/>
      <w:spacing w:before="100" w:beforeAutospacing="1" w:after="100" w:afterAutospacing="1"/>
      <w:jc w:val="left"/>
    </w:pPr>
    <w:rPr>
      <w:b/>
      <w:bCs/>
      <w:i/>
      <w:iCs/>
      <w:kern w:val="0"/>
      <w:sz w:val="24"/>
    </w:rPr>
  </w:style>
  <w:style w:type="paragraph" w:customStyle="1" w:styleId="231">
    <w:name w:val="font11"/>
    <w:basedOn w:val="1"/>
    <w:qFormat/>
    <w:uiPriority w:val="0"/>
    <w:pPr>
      <w:widowControl/>
      <w:spacing w:before="100" w:beforeAutospacing="1" w:after="100" w:afterAutospacing="1"/>
      <w:jc w:val="left"/>
    </w:pPr>
    <w:rPr>
      <w:kern w:val="0"/>
      <w:sz w:val="24"/>
    </w:rPr>
  </w:style>
  <w:style w:type="paragraph" w:customStyle="1" w:styleId="232">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hint="eastAsia" w:ascii="黑体" w:hAnsi="宋体" w:eastAsia="黑体"/>
      <w:kern w:val="0"/>
      <w:sz w:val="24"/>
    </w:rPr>
  </w:style>
  <w:style w:type="paragraph" w:styleId="233">
    <w:name w:val="List Paragraph"/>
    <w:basedOn w:val="1"/>
    <w:qFormat/>
    <w:uiPriority w:val="34"/>
    <w:pPr>
      <w:ind w:firstLine="420" w:firstLineChars="200"/>
    </w:pPr>
    <w:rPr>
      <w:rFonts w:ascii="Calibri" w:hAnsi="Calibri"/>
      <w:szCs w:val="22"/>
    </w:rPr>
  </w:style>
  <w:style w:type="paragraph" w:customStyle="1" w:styleId="234">
    <w:name w:val="xl42"/>
    <w:basedOn w:val="1"/>
    <w:qFormat/>
    <w:uiPriority w:val="0"/>
    <w:pPr>
      <w:widowControl/>
      <w:pBdr>
        <w:top w:val="single" w:color="auto" w:sz="4" w:space="0"/>
        <w:left w:val="single" w:color="auto" w:sz="4" w:space="0"/>
        <w:bottom w:val="single" w:color="auto" w:sz="8" w:space="0"/>
        <w:right w:val="single" w:color="auto" w:sz="8" w:space="0"/>
      </w:pBdr>
      <w:spacing w:before="100" w:beforeAutospacing="1" w:after="100" w:afterAutospacing="1"/>
      <w:jc w:val="center"/>
      <w:textAlignment w:val="center"/>
    </w:pPr>
    <w:rPr>
      <w:kern w:val="0"/>
      <w:sz w:val="24"/>
    </w:rPr>
  </w:style>
  <w:style w:type="paragraph" w:customStyle="1" w:styleId="235">
    <w:name w:val="目录"/>
    <w:basedOn w:val="1"/>
    <w:qFormat/>
    <w:uiPriority w:val="0"/>
    <w:pPr>
      <w:widowControl/>
      <w:jc w:val="center"/>
    </w:pPr>
    <w:rPr>
      <w:rFonts w:ascii="宋体"/>
      <w:b/>
      <w:kern w:val="0"/>
      <w:sz w:val="36"/>
      <w:szCs w:val="20"/>
    </w:rPr>
  </w:style>
  <w:style w:type="paragraph" w:customStyle="1" w:styleId="236">
    <w:name w:val="Char2"/>
    <w:basedOn w:val="1"/>
    <w:semiHidden/>
    <w:qFormat/>
    <w:uiPriority w:val="0"/>
    <w:pPr>
      <w:spacing w:line="360" w:lineRule="auto"/>
    </w:pPr>
    <w:rPr>
      <w:rFonts w:ascii="Tahoma" w:hAnsi="Tahoma"/>
      <w:sz w:val="24"/>
      <w:szCs w:val="20"/>
    </w:rPr>
  </w:style>
  <w:style w:type="paragraph" w:customStyle="1" w:styleId="237">
    <w:name w:val="Char1 Char Char Char Char Char Char1"/>
    <w:basedOn w:val="1"/>
    <w:qFormat/>
    <w:uiPriority w:val="0"/>
    <w:rPr>
      <w:rFonts w:ascii="Tahoma" w:hAnsi="Tahoma"/>
      <w:sz w:val="24"/>
      <w:szCs w:val="20"/>
    </w:rPr>
  </w:style>
  <w:style w:type="paragraph" w:customStyle="1" w:styleId="238">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hint="eastAsia" w:ascii="仿宋_GB2312" w:hAnsi="宋体" w:eastAsia="仿宋_GB2312"/>
      <w:kern w:val="0"/>
      <w:sz w:val="24"/>
    </w:rPr>
  </w:style>
  <w:style w:type="paragraph" w:customStyle="1" w:styleId="239">
    <w:name w:val="_Style 1"/>
    <w:basedOn w:val="1"/>
    <w:qFormat/>
    <w:uiPriority w:val="34"/>
    <w:pPr>
      <w:suppressAutoHyphens/>
      <w:ind w:firstLine="420" w:firstLineChars="200"/>
    </w:pPr>
    <w:rPr>
      <w:kern w:val="0"/>
      <w:sz w:val="24"/>
    </w:rPr>
  </w:style>
  <w:style w:type="paragraph" w:customStyle="1" w:styleId="240">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4"/>
    </w:rPr>
  </w:style>
  <w:style w:type="paragraph" w:customStyle="1" w:styleId="241">
    <w:name w:val="font7"/>
    <w:basedOn w:val="1"/>
    <w:qFormat/>
    <w:uiPriority w:val="0"/>
    <w:pPr>
      <w:widowControl/>
      <w:spacing w:before="100" w:beforeAutospacing="1" w:after="100" w:afterAutospacing="1"/>
      <w:jc w:val="left"/>
    </w:pPr>
    <w:rPr>
      <w:rFonts w:hint="eastAsia" w:ascii="黑体" w:hAnsi="宋体" w:eastAsia="黑体"/>
      <w:kern w:val="0"/>
      <w:sz w:val="24"/>
    </w:rPr>
  </w:style>
  <w:style w:type="paragraph" w:customStyle="1" w:styleId="242">
    <w:name w:val="样式 标题 1 + 黑体 三号 非加粗 居中 段前: 6 磅 段后: 6 磅 行距: 固定值 20 磅"/>
    <w:basedOn w:val="2"/>
    <w:qFormat/>
    <w:uiPriority w:val="0"/>
    <w:pPr>
      <w:keepLines/>
      <w:widowControl w:val="0"/>
      <w:numPr>
        <w:numId w:val="0"/>
      </w:numPr>
      <w:spacing w:before="120" w:after="120" w:line="400" w:lineRule="exact"/>
    </w:pPr>
    <w:rPr>
      <w:rFonts w:cs="宋体"/>
      <w:kern w:val="44"/>
      <w:sz w:val="32"/>
    </w:rPr>
  </w:style>
  <w:style w:type="paragraph" w:customStyle="1" w:styleId="243">
    <w:name w:val="font0"/>
    <w:basedOn w:val="1"/>
    <w:qFormat/>
    <w:uiPriority w:val="0"/>
    <w:pPr>
      <w:widowControl/>
      <w:spacing w:before="100" w:beforeAutospacing="1" w:after="100" w:afterAutospacing="1"/>
      <w:jc w:val="left"/>
    </w:pPr>
    <w:rPr>
      <w:rFonts w:hint="eastAsia" w:ascii="宋体" w:hAnsi="宋体"/>
      <w:kern w:val="0"/>
      <w:sz w:val="24"/>
    </w:rPr>
  </w:style>
  <w:style w:type="paragraph" w:customStyle="1" w:styleId="244">
    <w:name w:val="Contents 10"/>
    <w:basedOn w:val="245"/>
    <w:qFormat/>
    <w:uiPriority w:val="0"/>
    <w:pPr>
      <w:tabs>
        <w:tab w:val="right" w:leader="dot" w:pos="9637"/>
      </w:tabs>
      <w:ind w:left="2547"/>
    </w:pPr>
  </w:style>
  <w:style w:type="paragraph" w:customStyle="1" w:styleId="245">
    <w:name w:val="Index"/>
    <w:basedOn w:val="1"/>
    <w:qFormat/>
    <w:uiPriority w:val="0"/>
    <w:pPr>
      <w:suppressLineNumbers/>
      <w:suppressAutoHyphens/>
      <w:spacing w:line="360" w:lineRule="auto"/>
      <w:ind w:firstLine="420"/>
    </w:pPr>
    <w:rPr>
      <w:kern w:val="1"/>
      <w:sz w:val="28"/>
      <w:szCs w:val="28"/>
      <w:lang w:eastAsia="ar-SA"/>
    </w:rPr>
  </w:style>
  <w:style w:type="paragraph" w:customStyle="1" w:styleId="246">
    <w:name w:val="Heading"/>
    <w:basedOn w:val="1"/>
    <w:next w:val="18"/>
    <w:qFormat/>
    <w:uiPriority w:val="0"/>
    <w:pPr>
      <w:keepNext/>
      <w:suppressAutoHyphens/>
      <w:spacing w:before="240" w:after="120" w:line="360" w:lineRule="auto"/>
      <w:ind w:firstLine="420"/>
    </w:pPr>
    <w:rPr>
      <w:rFonts w:ascii="文鼎ＰＬ简中楷" w:hAnsi="文鼎ＰＬ简中楷" w:eastAsia="文鼎ＰＬ简中楷" w:cs="文鼎ＰＬ简中楷"/>
      <w:kern w:val="1"/>
      <w:sz w:val="28"/>
      <w:szCs w:val="28"/>
      <w:lang w:eastAsia="ar-SA"/>
    </w:rPr>
  </w:style>
  <w:style w:type="paragraph" w:customStyle="1" w:styleId="247">
    <w:name w:val="默认段落字体 Para Char Char Char Char Char Char Char Char Char Char Char Char Char Char Char1 Char"/>
    <w:basedOn w:val="14"/>
    <w:qFormat/>
    <w:uiPriority w:val="0"/>
  </w:style>
  <w:style w:type="paragraph" w:customStyle="1" w:styleId="248">
    <w:name w:val="Char3"/>
    <w:basedOn w:val="1"/>
    <w:qFormat/>
    <w:uiPriority w:val="0"/>
    <w:pPr>
      <w:spacing w:line="360" w:lineRule="auto"/>
    </w:pPr>
    <w:rPr>
      <w:rFonts w:ascii="Tahoma" w:hAnsi="Tahoma"/>
      <w:sz w:val="24"/>
      <w:szCs w:val="20"/>
    </w:rPr>
  </w:style>
  <w:style w:type="paragraph" w:customStyle="1" w:styleId="249">
    <w:name w:val="Char Char2 Char"/>
    <w:basedOn w:val="1"/>
    <w:qFormat/>
    <w:uiPriority w:val="0"/>
    <w:rPr>
      <w:rFonts w:ascii="Tahoma" w:hAnsi="Tahoma"/>
      <w:sz w:val="24"/>
      <w:szCs w:val="20"/>
    </w:rPr>
  </w:style>
  <w:style w:type="paragraph" w:customStyle="1" w:styleId="250">
    <w:name w:val="Char Char Char Char1"/>
    <w:basedOn w:val="1"/>
    <w:qFormat/>
    <w:uiPriority w:val="0"/>
    <w:pPr>
      <w:snapToGrid w:val="0"/>
      <w:spacing w:line="360" w:lineRule="auto"/>
      <w:ind w:firstLine="200" w:firstLineChars="200"/>
    </w:pPr>
    <w:rPr>
      <w:rFonts w:ascii="仿宋_GB2312" w:eastAsia="仿宋_GB2312"/>
      <w:sz w:val="24"/>
      <w:szCs w:val="32"/>
    </w:rPr>
  </w:style>
  <w:style w:type="paragraph" w:customStyle="1" w:styleId="251">
    <w:name w:val="Char Char2 Char1"/>
    <w:basedOn w:val="1"/>
    <w:qFormat/>
    <w:uiPriority w:val="0"/>
    <w:rPr>
      <w:rFonts w:ascii="Tahoma" w:hAnsi="Tahoma"/>
      <w:sz w:val="24"/>
      <w:szCs w:val="20"/>
    </w:rPr>
  </w:style>
  <w:style w:type="paragraph" w:customStyle="1" w:styleId="252">
    <w:name w:val="Preformatted"/>
    <w:basedOn w:val="1"/>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Courier New" w:hAnsi="Courier New"/>
      <w:kern w:val="0"/>
      <w:sz w:val="20"/>
      <w:szCs w:val="20"/>
    </w:rPr>
  </w:style>
  <w:style w:type="paragraph" w:customStyle="1" w:styleId="253">
    <w:name w:val="font10"/>
    <w:basedOn w:val="1"/>
    <w:qFormat/>
    <w:uiPriority w:val="0"/>
    <w:pPr>
      <w:widowControl/>
      <w:spacing w:before="100" w:beforeAutospacing="1" w:after="100" w:afterAutospacing="1"/>
      <w:jc w:val="left"/>
    </w:pPr>
    <w:rPr>
      <w:b/>
      <w:bCs/>
      <w:kern w:val="0"/>
      <w:sz w:val="24"/>
    </w:rPr>
  </w:style>
  <w:style w:type="paragraph" w:customStyle="1" w:styleId="254">
    <w:name w:val="题注1"/>
    <w:basedOn w:val="1"/>
    <w:qFormat/>
    <w:uiPriority w:val="0"/>
    <w:pPr>
      <w:suppressLineNumbers/>
      <w:suppressAutoHyphens/>
      <w:spacing w:before="120" w:after="120" w:line="360" w:lineRule="auto"/>
      <w:ind w:firstLine="420"/>
    </w:pPr>
    <w:rPr>
      <w:i/>
      <w:iCs/>
      <w:kern w:val="1"/>
      <w:sz w:val="24"/>
      <w:szCs w:val="28"/>
      <w:lang w:eastAsia="ar-SA"/>
    </w:rPr>
  </w:style>
  <w:style w:type="paragraph" w:customStyle="1" w:styleId="255">
    <w:name w:val="默认段落字体 Para Char Char Char Char Char Char Char Char Char Char"/>
    <w:basedOn w:val="1"/>
    <w:qFormat/>
    <w:uiPriority w:val="0"/>
    <w:pPr>
      <w:widowControl/>
    </w:pPr>
    <w:rPr>
      <w:rFonts w:ascii="Tahoma" w:hAnsi="Tahoma"/>
      <w:sz w:val="24"/>
      <w:szCs w:val="21"/>
    </w:rPr>
  </w:style>
  <w:style w:type="paragraph" w:customStyle="1" w:styleId="256">
    <w:name w:val="空半行"/>
    <w:basedOn w:val="1"/>
    <w:qFormat/>
    <w:uiPriority w:val="0"/>
    <w:pPr>
      <w:adjustRightInd w:val="0"/>
      <w:spacing w:line="120" w:lineRule="exact"/>
      <w:textAlignment w:val="baseline"/>
    </w:pPr>
    <w:rPr>
      <w:rFonts w:eastAsia="仿宋_GB2312"/>
      <w:color w:val="FFFFFF"/>
      <w:kern w:val="0"/>
      <w:sz w:val="30"/>
      <w:szCs w:val="20"/>
    </w:rPr>
  </w:style>
  <w:style w:type="paragraph" w:customStyle="1" w:styleId="257">
    <w:name w:val="二级标题"/>
    <w:basedOn w:val="3"/>
    <w:qFormat/>
    <w:uiPriority w:val="0"/>
    <w:pPr>
      <w:widowControl w:val="0"/>
      <w:spacing w:before="120" w:after="120" w:line="413" w:lineRule="auto"/>
      <w:jc w:val="both"/>
    </w:pPr>
    <w:rPr>
      <w:rFonts w:ascii="黑体" w:hAnsi="黑体"/>
      <w:b w:val="0"/>
      <w:bCs/>
      <w:kern w:val="2"/>
      <w:sz w:val="32"/>
      <w:szCs w:val="32"/>
    </w:rPr>
  </w:style>
  <w:style w:type="paragraph" w:customStyle="1" w:styleId="258">
    <w:name w:val="Char11"/>
    <w:basedOn w:val="1"/>
    <w:qFormat/>
    <w:uiPriority w:val="0"/>
    <w:rPr>
      <w:rFonts w:ascii="Tahoma" w:hAnsi="Tahoma"/>
      <w:sz w:val="24"/>
      <w:szCs w:val="20"/>
    </w:rPr>
  </w:style>
  <w:style w:type="paragraph" w:customStyle="1" w:styleId="259">
    <w:name w:val="Char Char1 Char Char Char Char Char Char"/>
    <w:basedOn w:val="14"/>
    <w:qFormat/>
    <w:uiPriority w:val="0"/>
    <w:pPr>
      <w:adjustRightInd w:val="0"/>
      <w:spacing w:line="436" w:lineRule="exact"/>
      <w:ind w:left="357"/>
      <w:jc w:val="left"/>
      <w:textAlignment w:val="baseline"/>
      <w:outlineLvl w:val="3"/>
    </w:pPr>
  </w:style>
  <w:style w:type="paragraph" w:customStyle="1" w:styleId="260">
    <w:name w:val="文一"/>
    <w:basedOn w:val="1"/>
    <w:qFormat/>
    <w:uiPriority w:val="0"/>
    <w:pPr>
      <w:topLinePunct/>
      <w:adjustRightInd w:val="0"/>
      <w:snapToGrid w:val="0"/>
      <w:spacing w:line="360" w:lineRule="auto"/>
      <w:ind w:firstLine="200" w:firstLineChars="200"/>
    </w:pPr>
    <w:rPr>
      <w:snapToGrid w:val="0"/>
      <w:spacing w:val="4"/>
      <w:kern w:val="0"/>
      <w:sz w:val="24"/>
      <w:szCs w:val="20"/>
    </w:rPr>
  </w:style>
  <w:style w:type="paragraph" w:customStyle="1" w:styleId="261">
    <w:name w:val="Char Char Char Char Char Char Char1"/>
    <w:basedOn w:val="1"/>
    <w:qFormat/>
    <w:uiPriority w:val="0"/>
    <w:rPr>
      <w:rFonts w:ascii="Tahoma" w:hAnsi="Tahoma"/>
      <w:sz w:val="24"/>
      <w:szCs w:val="20"/>
    </w:rPr>
  </w:style>
  <w:style w:type="paragraph" w:customStyle="1" w:styleId="262">
    <w:name w:val="Char Char1"/>
    <w:basedOn w:val="1"/>
    <w:qFormat/>
    <w:uiPriority w:val="0"/>
    <w:rPr>
      <w:rFonts w:ascii="Tahoma" w:hAnsi="Tahoma"/>
      <w:sz w:val="24"/>
      <w:szCs w:val="20"/>
    </w:rPr>
  </w:style>
  <w:style w:type="table" w:customStyle="1" w:styleId="263">
    <w:name w:val="网格型1"/>
    <w:basedOn w:val="48"/>
    <w:qFormat/>
    <w:uiPriority w:val="0"/>
    <w:pPr>
      <w:widowControl w:val="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4">
    <w:name w:val="网格型2"/>
    <w:basedOn w:val="48"/>
    <w:qFormat/>
    <w:uiPriority w:val="0"/>
    <w:pPr>
      <w:widowControl w:val="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WWW.YlmF.CoM</Company>
  <Pages>42</Pages>
  <Words>3707</Words>
  <Characters>21136</Characters>
  <Lines>176</Lines>
  <Paragraphs>49</Paragraphs>
  <TotalTime>0</TotalTime>
  <ScaleCrop>false</ScaleCrop>
  <LinksUpToDate>false</LinksUpToDate>
  <CharactersWithSpaces>24794</CharactersWithSpaces>
  <Application>WPS Office_11.1.0.10495_F1E327BC-269C-435d-A152-05C5408002CA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2021-05-06T06:38:00Z</dcterms:created>
  <dc:creator>陈清华</dc:creator>
  <cp:lastModifiedBy>因_宁</cp:lastModifiedBy>
  <cp:lastPrinted>2021-05-10T07:24:00Z</cp:lastPrinted>
  <dcterms:modified xsi:type="dcterms:W3CDTF">2021-05-13T07:48:06Z</dcterms:modified>
  <dc:title>六安市烟草公司“感知徽映”展示中心装饰工程</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CCA5ED07CD82498F9C08E5A8D1EB0396</vt:lpwstr>
  </property>
</Properties>
</file>