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color w:val="000000"/>
          <w:sz w:val="32"/>
          <w:szCs w:val="32"/>
        </w:rPr>
      </w:pPr>
    </w:p>
    <w:p>
      <w:pPr>
        <w:jc w:val="center"/>
        <w:rPr>
          <w:rFonts w:ascii="宋体" w:hAnsi="宋体"/>
          <w:color w:val="000000"/>
          <w:sz w:val="32"/>
          <w:szCs w:val="32"/>
        </w:rPr>
      </w:pPr>
    </w:p>
    <w:p>
      <w:pPr>
        <w:jc w:val="center"/>
        <w:rPr>
          <w:rFonts w:ascii="宋体" w:hAnsi="宋体"/>
          <w:color w:val="000000"/>
          <w:sz w:val="44"/>
          <w:szCs w:val="44"/>
        </w:rPr>
      </w:pPr>
      <w:r>
        <w:rPr>
          <w:rFonts w:hint="eastAsia" w:ascii="宋体" w:hAnsi="宋体"/>
          <w:color w:val="000000"/>
          <w:sz w:val="44"/>
          <w:szCs w:val="44"/>
        </w:rPr>
        <w:t>六安市中医院西边楼屋面改造工程</w:t>
      </w:r>
    </w:p>
    <w:p>
      <w:pPr>
        <w:jc w:val="center"/>
        <w:rPr>
          <w:rFonts w:ascii="宋体" w:hAnsi="宋体"/>
          <w:color w:val="000000"/>
          <w:sz w:val="48"/>
          <w:szCs w:val="48"/>
        </w:rPr>
      </w:pPr>
    </w:p>
    <w:p>
      <w:pPr>
        <w:jc w:val="center"/>
        <w:rPr>
          <w:rFonts w:ascii="宋体" w:hAnsi="宋体"/>
          <w:color w:val="000000"/>
          <w:sz w:val="120"/>
          <w:szCs w:val="120"/>
        </w:rPr>
      </w:pPr>
      <w:r>
        <w:rPr>
          <w:rFonts w:hint="eastAsia" w:ascii="宋体" w:hAnsi="宋体"/>
          <w:color w:val="000000"/>
          <w:sz w:val="120"/>
          <w:szCs w:val="120"/>
          <w:lang w:eastAsia="zh-CN"/>
        </w:rPr>
        <w:t>招标</w:t>
      </w:r>
      <w:r>
        <w:rPr>
          <w:rFonts w:hint="eastAsia" w:ascii="宋体" w:hAnsi="宋体"/>
          <w:color w:val="000000"/>
          <w:sz w:val="120"/>
          <w:szCs w:val="120"/>
        </w:rPr>
        <w:t>文件</w:t>
      </w:r>
    </w:p>
    <w:p>
      <w:pPr>
        <w:jc w:val="center"/>
        <w:rPr>
          <w:rFonts w:ascii="宋体" w:hAnsi="宋体"/>
          <w:color w:val="000000"/>
          <w:sz w:val="24"/>
        </w:rPr>
      </w:pPr>
    </w:p>
    <w:p>
      <w:pPr>
        <w:ind w:firstLine="3012" w:firstLineChars="1000"/>
        <w:jc w:val="both"/>
        <w:rPr>
          <w:rFonts w:ascii="宋体" w:hAnsi="宋体"/>
          <w:color w:val="000000"/>
          <w:sz w:val="24"/>
        </w:rPr>
      </w:pPr>
      <w:r>
        <w:rPr>
          <w:rFonts w:hint="eastAsia" w:ascii="宋体" w:hAnsi="宋体"/>
          <w:b/>
          <w:bCs/>
          <w:color w:val="000000"/>
          <w:sz w:val="30"/>
          <w:szCs w:val="30"/>
        </w:rPr>
        <w:t>项目编号</w:t>
      </w:r>
      <w:r>
        <w:rPr>
          <w:rFonts w:hint="eastAsia" w:ascii="宋体" w:hAnsi="宋体"/>
          <w:color w:val="000000"/>
          <w:sz w:val="30"/>
          <w:szCs w:val="30"/>
        </w:rPr>
        <w:t>：LASZYY-ZBB2021064</w:t>
      </w: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spacing w:line="500" w:lineRule="exact"/>
        <w:ind w:firstLine="3080" w:firstLineChars="1100"/>
        <w:rPr>
          <w:rFonts w:ascii="宋体" w:hAnsi="宋体"/>
          <w:color w:val="000000"/>
          <w:sz w:val="28"/>
          <w:szCs w:val="28"/>
        </w:rPr>
      </w:pPr>
      <w:r>
        <w:rPr>
          <w:rFonts w:hint="eastAsia" w:ascii="宋体" w:hAnsi="宋体"/>
          <w:color w:val="000000"/>
          <w:sz w:val="28"/>
          <w:szCs w:val="28"/>
        </w:rPr>
        <w:t>招标人：</w:t>
      </w:r>
      <w:r>
        <w:rPr>
          <w:rFonts w:hint="eastAsia" w:ascii="宋体" w:hAnsi="宋体"/>
          <w:color w:val="000000"/>
          <w:spacing w:val="20"/>
          <w:sz w:val="28"/>
          <w:szCs w:val="28"/>
        </w:rPr>
        <w:t>六安市中医院</w:t>
      </w:r>
    </w:p>
    <w:p>
      <w:pPr>
        <w:spacing w:line="500" w:lineRule="exact"/>
        <w:jc w:val="center"/>
        <w:rPr>
          <w:rFonts w:ascii="宋体" w:hAnsi="宋体"/>
          <w:color w:val="000000"/>
          <w:sz w:val="28"/>
          <w:szCs w:val="28"/>
        </w:rPr>
      </w:pPr>
      <w:r>
        <w:rPr>
          <w:rFonts w:hint="eastAsia" w:ascii="宋体" w:hAnsi="宋体"/>
          <w:color w:val="000000"/>
          <w:sz w:val="28"/>
          <w:szCs w:val="28"/>
        </w:rPr>
        <w:t xml:space="preserve"> </w:t>
      </w:r>
    </w:p>
    <w:p>
      <w:pPr>
        <w:widowControl/>
        <w:spacing w:before="360" w:beforeLines="150" w:line="375" w:lineRule="atLeast"/>
        <w:jc w:val="center"/>
        <w:rPr>
          <w:rFonts w:ascii="宋体" w:hAnsi="宋体"/>
          <w:color w:val="000000"/>
          <w:sz w:val="32"/>
          <w:szCs w:val="32"/>
        </w:rPr>
      </w:pPr>
      <w:r>
        <w:rPr>
          <w:rFonts w:hint="eastAsia" w:ascii="宋体" w:hAnsi="宋体"/>
          <w:color w:val="000000"/>
          <w:sz w:val="28"/>
          <w:szCs w:val="28"/>
        </w:rPr>
        <w:t>二〇二一年</w:t>
      </w:r>
      <w:r>
        <w:rPr>
          <w:rFonts w:hint="eastAsia" w:ascii="宋体" w:hAnsi="宋体"/>
          <w:color w:val="000000"/>
          <w:sz w:val="28"/>
          <w:szCs w:val="28"/>
          <w:lang w:eastAsia="zh-CN"/>
        </w:rPr>
        <w:t>五</w:t>
      </w:r>
      <w:r>
        <w:rPr>
          <w:rFonts w:hint="eastAsia" w:ascii="宋体" w:hAnsi="宋体"/>
          <w:color w:val="000000"/>
          <w:sz w:val="28"/>
          <w:szCs w:val="28"/>
        </w:rPr>
        <w:t>月</w:t>
      </w:r>
    </w:p>
    <w:p>
      <w:pPr>
        <w:jc w:val="center"/>
        <w:rPr>
          <w:rFonts w:ascii="宋体" w:hAnsi="宋体"/>
          <w:color w:val="000000"/>
          <w:sz w:val="44"/>
          <w:szCs w:val="44"/>
        </w:rPr>
      </w:pPr>
      <w:r>
        <w:rPr>
          <w:color w:val="000000"/>
        </w:rPr>
        <w:br w:type="page"/>
      </w:r>
      <w:bookmarkStart w:id="0" w:name="OLE_LINK1"/>
      <w:bookmarkStart w:id="1" w:name="OLE_LINK2"/>
      <w:bookmarkStart w:id="2" w:name="OLE_LINK4"/>
      <w:r>
        <w:rPr>
          <w:rFonts w:hint="eastAsia" w:ascii="宋体" w:hAnsi="宋体"/>
          <w:color w:val="000000"/>
          <w:sz w:val="44"/>
          <w:szCs w:val="44"/>
        </w:rPr>
        <w:t>六安市中医院西边楼屋面改造工程</w:t>
      </w:r>
      <w:r>
        <w:rPr>
          <w:rFonts w:hint="eastAsia" w:ascii="宋体" w:hAnsi="宋体"/>
          <w:color w:val="000000"/>
          <w:sz w:val="44"/>
          <w:szCs w:val="44"/>
          <w:lang w:eastAsia="zh-CN"/>
        </w:rPr>
        <w:t>发包</w:t>
      </w:r>
      <w:bookmarkStart w:id="154" w:name="_GoBack"/>
      <w:bookmarkEnd w:id="154"/>
      <w:r>
        <w:rPr>
          <w:rFonts w:hint="eastAsia" w:ascii="宋体" w:hAnsi="宋体"/>
          <w:color w:val="000000"/>
          <w:sz w:val="44"/>
          <w:szCs w:val="44"/>
        </w:rPr>
        <w:t>公告</w:t>
      </w:r>
    </w:p>
    <w:p>
      <w:pPr>
        <w:rPr>
          <w:rFonts w:ascii="宋体" w:hAnsi="宋体"/>
          <w:color w:val="000000"/>
          <w:sz w:val="32"/>
          <w:szCs w:val="32"/>
        </w:rPr>
      </w:pPr>
    </w:p>
    <w:p>
      <w:pPr>
        <w:ind w:firstLine="482" w:firstLineChars="200"/>
        <w:rPr>
          <w:rFonts w:ascii="宋体" w:hAnsi="宋体"/>
          <w:color w:val="000000"/>
          <w:sz w:val="44"/>
          <w:szCs w:val="44"/>
        </w:rPr>
      </w:pPr>
      <w:r>
        <w:rPr>
          <w:rFonts w:hint="eastAsia" w:ascii="宋体" w:hAnsi="宋体" w:cs="Arial"/>
          <w:b/>
          <w:bCs/>
          <w:color w:val="000000"/>
          <w:kern w:val="0"/>
          <w:sz w:val="24"/>
        </w:rPr>
        <w:t>一、项目名称：</w:t>
      </w:r>
      <w:r>
        <w:rPr>
          <w:rFonts w:hint="eastAsia" w:ascii="宋体" w:hAnsi="宋体" w:cs="Arial"/>
          <w:bCs/>
          <w:color w:val="000000"/>
          <w:kern w:val="0"/>
          <w:sz w:val="24"/>
        </w:rPr>
        <w:t>六安市中医院西边楼屋面改造工程</w:t>
      </w:r>
    </w:p>
    <w:p>
      <w:pPr>
        <w:widowControl/>
        <w:spacing w:line="360" w:lineRule="auto"/>
        <w:ind w:firstLine="482"/>
        <w:rPr>
          <w:rFonts w:ascii="宋体" w:hAnsi="宋体" w:cs="Arial"/>
          <w:color w:val="000000"/>
          <w:kern w:val="0"/>
          <w:sz w:val="24"/>
        </w:rPr>
      </w:pPr>
      <w:r>
        <w:rPr>
          <w:rFonts w:hint="eastAsia" w:ascii="宋体" w:hAnsi="宋体" w:cs="Arial"/>
          <w:b/>
          <w:bCs/>
          <w:color w:val="000000"/>
          <w:kern w:val="0"/>
          <w:sz w:val="24"/>
        </w:rPr>
        <w:t>二、项目编号：LASZYY-ZBB2021064</w:t>
      </w:r>
    </w:p>
    <w:p>
      <w:pPr>
        <w:widowControl/>
        <w:spacing w:line="360" w:lineRule="auto"/>
        <w:ind w:firstLine="482"/>
        <w:rPr>
          <w:rFonts w:ascii="宋体" w:hAnsi="宋体" w:cs="Arial"/>
          <w:b/>
          <w:bCs/>
          <w:color w:val="000000"/>
          <w:kern w:val="0"/>
          <w:sz w:val="24"/>
        </w:rPr>
      </w:pPr>
      <w:r>
        <w:rPr>
          <w:rFonts w:hint="eastAsia" w:ascii="宋体" w:hAnsi="宋体" w:cs="Arial"/>
          <w:b/>
          <w:bCs/>
          <w:color w:val="000000"/>
          <w:kern w:val="0"/>
          <w:sz w:val="24"/>
        </w:rPr>
        <w:t>三、工程概况</w:t>
      </w:r>
    </w:p>
    <w:p>
      <w:pPr>
        <w:widowControl/>
        <w:spacing w:line="360" w:lineRule="auto"/>
        <w:ind w:firstLine="482"/>
        <w:rPr>
          <w:rFonts w:ascii="宋体" w:hAnsi="宋体" w:cs="Arial"/>
          <w:bCs/>
          <w:color w:val="000000"/>
          <w:kern w:val="0"/>
          <w:sz w:val="24"/>
        </w:rPr>
      </w:pPr>
      <w:r>
        <w:rPr>
          <w:rFonts w:hint="eastAsia" w:ascii="宋体" w:hAnsi="宋体" w:cs="Arial"/>
          <w:bCs/>
          <w:color w:val="000000"/>
          <w:kern w:val="0"/>
          <w:sz w:val="24"/>
        </w:rPr>
        <w:t>1、工程地点：六安市中医院西边学生公寓楼五楼。</w:t>
      </w:r>
    </w:p>
    <w:p>
      <w:pPr>
        <w:widowControl/>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2、工程概况：</w:t>
      </w:r>
      <w:r>
        <w:rPr>
          <w:rFonts w:hint="eastAsia" w:ascii="宋体" w:hAnsi="宋体"/>
          <w:sz w:val="24"/>
        </w:rPr>
        <w:t>本项目工程内容包含：六安市中医院西边学生公寓楼五楼原活动板房的拆除</w:t>
      </w:r>
      <w:r>
        <w:rPr>
          <w:rFonts w:ascii="宋体" w:hAnsi="宋体"/>
          <w:sz w:val="24"/>
        </w:rPr>
        <w:t>;</w:t>
      </w:r>
      <w:r>
        <w:rPr>
          <w:rFonts w:hint="eastAsia" w:ascii="宋体" w:hAnsi="宋体"/>
          <w:sz w:val="24"/>
        </w:rPr>
        <w:t>防水隔热层新建;油烟过滤器移位（包括移位所必须的管道、线缆增加，设备的基础、防雨和防护措施）等，具体内容详见施工图纸。</w:t>
      </w:r>
    </w:p>
    <w:p>
      <w:pPr>
        <w:widowControl/>
        <w:spacing w:line="360" w:lineRule="auto"/>
        <w:ind w:firstLine="482"/>
        <w:rPr>
          <w:rFonts w:ascii="宋体" w:hAnsi="宋体" w:cs="Arial"/>
          <w:b/>
          <w:bCs/>
          <w:color w:val="000000"/>
          <w:kern w:val="0"/>
          <w:sz w:val="24"/>
        </w:rPr>
      </w:pPr>
      <w:r>
        <w:rPr>
          <w:rFonts w:hint="eastAsia" w:ascii="宋体" w:hAnsi="宋体" w:cs="Arial"/>
          <w:b/>
          <w:bCs/>
          <w:color w:val="000000"/>
          <w:kern w:val="0"/>
          <w:sz w:val="24"/>
        </w:rPr>
        <w:t>四、项目范围</w:t>
      </w:r>
    </w:p>
    <w:p>
      <w:pPr>
        <w:widowControl/>
        <w:spacing w:line="360" w:lineRule="auto"/>
        <w:ind w:firstLine="482"/>
        <w:rPr>
          <w:rFonts w:ascii="宋体" w:hAnsi="宋体" w:cs="Arial"/>
          <w:b/>
          <w:color w:val="000000"/>
          <w:kern w:val="0"/>
          <w:sz w:val="24"/>
        </w:rPr>
      </w:pPr>
      <w:bookmarkStart w:id="3" w:name="_Hlk70427257"/>
      <w:r>
        <w:rPr>
          <w:rFonts w:hint="eastAsia" w:ascii="宋体" w:hAnsi="宋体" w:cs="Arial"/>
          <w:bCs/>
          <w:color w:val="000000"/>
          <w:kern w:val="0"/>
          <w:sz w:val="24"/>
        </w:rPr>
        <w:t>1 、本工程主要涉及活动板房拆除、防水隔热层新建、屋面油烟过滤器移位</w:t>
      </w:r>
      <w:r>
        <w:rPr>
          <w:rFonts w:hint="eastAsia" w:ascii="宋体" w:hAnsi="宋体"/>
          <w:sz w:val="24"/>
        </w:rPr>
        <w:t>（包括移位所必须的管道、线缆增加，设备的基础、防雨和防护措施）</w:t>
      </w:r>
      <w:r>
        <w:rPr>
          <w:rFonts w:hint="eastAsia" w:ascii="宋体" w:hAnsi="宋体" w:cs="Arial"/>
          <w:bCs/>
          <w:color w:val="000000"/>
          <w:kern w:val="0"/>
          <w:sz w:val="24"/>
        </w:rPr>
        <w:t>等，具体详见图纸。</w:t>
      </w:r>
      <w:r>
        <w:rPr>
          <w:rFonts w:hint="eastAsia" w:ascii="宋体" w:hAnsi="宋体" w:cs="Arial"/>
          <w:b/>
          <w:color w:val="000000"/>
          <w:kern w:val="0"/>
          <w:sz w:val="24"/>
        </w:rPr>
        <w:t>投标人应仔细勘察现场，谨慎、合理报价。</w:t>
      </w:r>
      <w:r>
        <w:rPr>
          <w:rFonts w:hint="eastAsia" w:ascii="宋体" w:hAnsi="宋体" w:cs="Arial"/>
          <w:bCs/>
          <w:color w:val="000000"/>
          <w:kern w:val="0"/>
          <w:sz w:val="24"/>
        </w:rPr>
        <w:t>本项目为交钥匙服务。</w:t>
      </w:r>
    </w:p>
    <w:p>
      <w:pPr>
        <w:widowControl/>
        <w:spacing w:line="360" w:lineRule="auto"/>
        <w:ind w:firstLine="482"/>
        <w:rPr>
          <w:rFonts w:ascii="宋体" w:hAnsi="宋体" w:cs="Arial"/>
          <w:bCs/>
          <w:color w:val="000000"/>
          <w:kern w:val="0"/>
          <w:sz w:val="24"/>
        </w:rPr>
      </w:pPr>
      <w:r>
        <w:rPr>
          <w:rFonts w:hint="eastAsia" w:ascii="宋体" w:hAnsi="宋体" w:cs="Arial"/>
          <w:bCs/>
          <w:color w:val="000000"/>
          <w:kern w:val="0"/>
          <w:sz w:val="24"/>
        </w:rPr>
        <w:t>2、其余详见</w:t>
      </w:r>
      <w:r>
        <w:rPr>
          <w:rFonts w:hint="eastAsia" w:ascii="宋体" w:hAnsi="宋体" w:cs="Arial"/>
          <w:bCs/>
          <w:color w:val="000000"/>
          <w:kern w:val="0"/>
          <w:sz w:val="24"/>
          <w:lang w:eastAsia="zh-CN"/>
        </w:rPr>
        <w:t>招标</w:t>
      </w:r>
      <w:r>
        <w:rPr>
          <w:rFonts w:hint="eastAsia" w:ascii="宋体" w:hAnsi="宋体" w:cs="Arial"/>
          <w:bCs/>
          <w:color w:val="000000"/>
          <w:kern w:val="0"/>
          <w:sz w:val="24"/>
        </w:rPr>
        <w:t>文件、工程量清单、图纸。</w:t>
      </w:r>
    </w:p>
    <w:p>
      <w:pPr>
        <w:widowControl/>
        <w:spacing w:line="360" w:lineRule="auto"/>
        <w:ind w:firstLine="482"/>
        <w:rPr>
          <w:rFonts w:ascii="宋体" w:hAnsi="宋体" w:cs="Arial"/>
          <w:color w:val="000000"/>
          <w:kern w:val="0"/>
          <w:sz w:val="24"/>
        </w:rPr>
      </w:pPr>
      <w:r>
        <w:rPr>
          <w:rFonts w:hint="eastAsia" w:ascii="宋体" w:hAnsi="宋体" w:cs="Arial"/>
          <w:color w:val="000000"/>
          <w:kern w:val="0"/>
          <w:sz w:val="24"/>
        </w:rPr>
        <w:t>3、本项目</w:t>
      </w:r>
      <w:r>
        <w:rPr>
          <w:rFonts w:hint="eastAsia" w:ascii="宋体" w:hAnsi="宋体" w:cs="Arial"/>
          <w:color w:val="000000"/>
          <w:kern w:val="0"/>
          <w:sz w:val="24"/>
          <w:lang w:eastAsia="zh-CN"/>
        </w:rPr>
        <w:t>招标</w:t>
      </w:r>
      <w:r>
        <w:rPr>
          <w:rFonts w:hint="eastAsia" w:ascii="宋体" w:hAnsi="宋体" w:cs="Arial"/>
          <w:color w:val="000000"/>
          <w:kern w:val="0"/>
          <w:sz w:val="24"/>
        </w:rPr>
        <w:t>限价为：</w:t>
      </w:r>
      <w:r>
        <w:rPr>
          <w:rFonts w:hint="eastAsia" w:ascii="宋体" w:hAnsi="宋体" w:cs="Arial"/>
          <w:color w:val="000000"/>
          <w:kern w:val="0"/>
          <w:sz w:val="24"/>
          <w:u w:val="single"/>
        </w:rPr>
        <w:t xml:space="preserve"> ¥</w:t>
      </w:r>
      <w:r>
        <w:rPr>
          <w:rFonts w:ascii="宋体" w:hAnsi="宋体" w:cs="Arial"/>
          <w:color w:val="000000"/>
          <w:kern w:val="0"/>
          <w:sz w:val="24"/>
          <w:u w:val="single"/>
        </w:rPr>
        <w:t>259436.35</w:t>
      </w:r>
      <w:r>
        <w:rPr>
          <w:rFonts w:hint="eastAsia" w:ascii="宋体" w:hAnsi="宋体" w:cs="Arial"/>
          <w:color w:val="000000"/>
          <w:kern w:val="0"/>
          <w:sz w:val="24"/>
        </w:rPr>
        <w:t>元。</w:t>
      </w:r>
    </w:p>
    <w:p>
      <w:pPr>
        <w:widowControl/>
        <w:spacing w:line="360" w:lineRule="auto"/>
        <w:ind w:firstLine="482"/>
        <w:rPr>
          <w:rFonts w:ascii="宋体" w:hAnsi="宋体" w:cs="Arial"/>
          <w:color w:val="000000"/>
          <w:kern w:val="0"/>
          <w:sz w:val="24"/>
        </w:rPr>
      </w:pPr>
      <w:r>
        <w:rPr>
          <w:rFonts w:hint="eastAsia" w:ascii="宋体" w:hAnsi="宋体" w:cs="Arial"/>
          <w:color w:val="000000"/>
          <w:kern w:val="0"/>
          <w:sz w:val="24"/>
        </w:rPr>
        <w:t>4、本项目包含</w:t>
      </w:r>
      <w:r>
        <w:rPr>
          <w:rFonts w:hint="eastAsia" w:ascii="宋体" w:hAnsi="宋体" w:cs="Arial"/>
          <w:color w:val="000000"/>
          <w:kern w:val="0"/>
          <w:sz w:val="24"/>
          <w:u w:val="single"/>
        </w:rPr>
        <w:t>¥8</w:t>
      </w:r>
      <w:r>
        <w:rPr>
          <w:rFonts w:ascii="宋体" w:hAnsi="宋体" w:cs="Arial"/>
          <w:color w:val="000000"/>
          <w:kern w:val="0"/>
          <w:sz w:val="24"/>
          <w:u w:val="single"/>
        </w:rPr>
        <w:t>000.00</w:t>
      </w:r>
      <w:r>
        <w:rPr>
          <w:rFonts w:hint="eastAsia" w:ascii="宋体" w:hAnsi="宋体" w:cs="Arial"/>
          <w:color w:val="000000"/>
          <w:kern w:val="0"/>
          <w:sz w:val="24"/>
        </w:rPr>
        <w:t>元图纸设计费，由中标人支付（招标人提供设计院账户信息）。</w:t>
      </w:r>
      <w:bookmarkEnd w:id="3"/>
      <w:r>
        <w:rPr>
          <w:rFonts w:hint="eastAsia" w:ascii="宋体" w:hAnsi="宋体" w:cs="Arial"/>
          <w:bCs/>
          <w:color w:val="000000"/>
          <w:kern w:val="0"/>
          <w:sz w:val="24"/>
        </w:rPr>
        <w:t xml:space="preserve"> </w:t>
      </w:r>
    </w:p>
    <w:p>
      <w:pPr>
        <w:widowControl/>
        <w:spacing w:line="360" w:lineRule="auto"/>
        <w:ind w:firstLine="451"/>
        <w:rPr>
          <w:rFonts w:ascii="宋体" w:hAnsi="宋体" w:cs="Arial"/>
          <w:b/>
          <w:bCs/>
          <w:color w:val="000000"/>
          <w:kern w:val="0"/>
          <w:sz w:val="24"/>
        </w:rPr>
      </w:pPr>
      <w:r>
        <w:rPr>
          <w:rFonts w:hint="eastAsia" w:ascii="宋体" w:hAnsi="宋体" w:cs="Arial"/>
          <w:b/>
          <w:bCs/>
          <w:color w:val="000000"/>
          <w:kern w:val="0"/>
          <w:sz w:val="24"/>
        </w:rPr>
        <w:t>五、中标人资格条件：</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1、企业资质：（1）为中国境内依法注册的独立法人，具有有效的法人营业执照； (2) 具有建筑工程施工总承包三级及以上资质或建筑装修装饰工程专业承包资质二级及以上；（3）具有有效的安全生产许可证。</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2、项目负责人：（1）须具备建筑工程专业二级及以上注册建造师资格；（2）具有有效的安全生产考核合格B证。</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3、业绩要求：供应商自2018年1月1日至投标截止日至少具有1个类似公共建筑装饰装修工程业绩且合同金额不少于人民币25万元（同时提供合同及相应的验收资料，以合同签订金额、时间为准）。</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注：如所提供业绩为房屋建筑工程（公共建筑），其中包含装饰装修工程部分的金额不少于人民币25万元，予以认可。若合同和验收材料中没有体现有关工程内容，除按招标文件要求提供相关业绩证明材料外，还须提供工程量清单关键页（体现内容和金额）。</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4、供应商未被人民法院列入失信被执行人（以开标日当日查询“信用中国”网站www.creditchina.gov.cn的结果为准）；</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5、根据六安市住建委、安监局、公管局六建法【2018】80号文件精神，对依据该文件规定记入不良行为记录的单位和人员，在公布期限内，拒绝其参加六安市行政区域内依法必须招标项目的投标。——供应商在响应文件中自行承诺。</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6、本公告发布之日前三年，供应商或其法定代表人或拟派项目经理（项目负责人）不存在行贿犯罪情形；——供应商在响应文件中自行承诺。</w:t>
      </w:r>
    </w:p>
    <w:p>
      <w:pPr>
        <w:widowControl/>
        <w:spacing w:line="360" w:lineRule="auto"/>
        <w:ind w:firstLine="480"/>
        <w:rPr>
          <w:rFonts w:ascii="宋体" w:hAnsi="宋体" w:cs="Arial"/>
          <w:color w:val="000000"/>
          <w:kern w:val="0"/>
          <w:sz w:val="24"/>
        </w:rPr>
      </w:pPr>
      <w:r>
        <w:rPr>
          <w:rFonts w:hint="eastAsia" w:ascii="宋体" w:hAnsi="宋体" w:cs="Arial"/>
          <w:b/>
          <w:bCs/>
          <w:color w:val="000000"/>
          <w:kern w:val="0"/>
          <w:sz w:val="24"/>
        </w:rPr>
        <w:t>六、工期：</w:t>
      </w:r>
      <w:r>
        <w:rPr>
          <w:rFonts w:hint="eastAsia" w:ascii="宋体" w:hAnsi="宋体" w:cs="Arial"/>
          <w:color w:val="000000"/>
          <w:kern w:val="0"/>
          <w:sz w:val="24"/>
        </w:rPr>
        <w:t>约</w:t>
      </w:r>
      <w:r>
        <w:rPr>
          <w:rFonts w:ascii="宋体" w:hAnsi="宋体" w:cs="Arial"/>
          <w:color w:val="000000"/>
          <w:kern w:val="0"/>
          <w:sz w:val="24"/>
        </w:rPr>
        <w:t>45</w:t>
      </w:r>
      <w:r>
        <w:rPr>
          <w:rFonts w:hint="eastAsia" w:ascii="宋体" w:hAnsi="宋体" w:cs="Arial"/>
          <w:color w:val="000000"/>
          <w:kern w:val="0"/>
          <w:sz w:val="24"/>
        </w:rPr>
        <w:t>日历天</w:t>
      </w:r>
    </w:p>
    <w:p>
      <w:pPr>
        <w:widowControl/>
        <w:spacing w:line="360" w:lineRule="auto"/>
        <w:ind w:firstLine="480"/>
        <w:rPr>
          <w:rFonts w:ascii="宋体" w:hAnsi="宋体" w:cs="Arial"/>
          <w:color w:val="000000"/>
          <w:kern w:val="0"/>
          <w:sz w:val="24"/>
        </w:rPr>
      </w:pPr>
      <w:r>
        <w:rPr>
          <w:rFonts w:hint="eastAsia" w:ascii="宋体" w:hAnsi="宋体" w:cs="Arial"/>
          <w:b/>
          <w:bCs/>
          <w:color w:val="000000"/>
          <w:kern w:val="0"/>
          <w:sz w:val="24"/>
        </w:rPr>
        <w:t>七、标包划分：</w:t>
      </w:r>
      <w:r>
        <w:rPr>
          <w:rFonts w:hint="eastAsia" w:ascii="宋体" w:hAnsi="宋体" w:cs="Arial"/>
          <w:color w:val="000000"/>
          <w:kern w:val="0"/>
          <w:sz w:val="24"/>
        </w:rPr>
        <w:t xml:space="preserve"> 1个包</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八、资格审查方式：</w:t>
      </w:r>
      <w:r>
        <w:rPr>
          <w:rFonts w:hint="eastAsia" w:ascii="宋体" w:hAnsi="宋体" w:cs="Arial"/>
          <w:bCs/>
          <w:color w:val="000000"/>
          <w:kern w:val="0"/>
          <w:sz w:val="24"/>
        </w:rPr>
        <w:t>资格后审</w:t>
      </w:r>
    </w:p>
    <w:p>
      <w:pPr>
        <w:widowControl/>
        <w:shd w:val="clear" w:color="auto" w:fill="FFFFFF"/>
        <w:spacing w:line="360" w:lineRule="auto"/>
        <w:ind w:firstLine="482"/>
        <w:jc w:val="left"/>
        <w:rPr>
          <w:rFonts w:ascii="宋体" w:hAnsi="宋体" w:cs="Arial"/>
          <w:color w:val="000000"/>
          <w:kern w:val="0"/>
          <w:szCs w:val="21"/>
        </w:rPr>
      </w:pPr>
      <w:r>
        <w:rPr>
          <w:rFonts w:hint="eastAsia" w:ascii="宋体" w:hAnsi="宋体" w:cs="Arial"/>
          <w:b/>
          <w:bCs/>
          <w:color w:val="000000"/>
          <w:kern w:val="0"/>
          <w:sz w:val="24"/>
        </w:rPr>
        <w:t>九、</w:t>
      </w:r>
      <w:r>
        <w:rPr>
          <w:rFonts w:hint="eastAsia" w:ascii="宋体" w:hAnsi="宋体" w:cs="Arial"/>
          <w:b/>
          <w:bCs/>
          <w:color w:val="000000"/>
          <w:kern w:val="0"/>
          <w:sz w:val="24"/>
          <w:lang w:eastAsia="zh-CN"/>
        </w:rPr>
        <w:t>招标</w:t>
      </w:r>
      <w:r>
        <w:rPr>
          <w:rFonts w:hint="eastAsia" w:ascii="宋体" w:hAnsi="宋体" w:cs="Arial"/>
          <w:b/>
          <w:bCs/>
          <w:color w:val="000000"/>
          <w:kern w:val="0"/>
          <w:sz w:val="24"/>
        </w:rPr>
        <w:t>文件的获取：</w:t>
      </w:r>
    </w:p>
    <w:p>
      <w:pPr>
        <w:spacing w:line="360" w:lineRule="auto"/>
        <w:ind w:firstLine="482" w:firstLineChars="200"/>
        <w:rPr>
          <w:rFonts w:ascii="仿宋" w:hAnsi="仿宋" w:eastAsia="仿宋"/>
          <w:b/>
          <w:sz w:val="24"/>
        </w:rPr>
      </w:pPr>
      <w:r>
        <w:rPr>
          <w:rFonts w:hint="eastAsia" w:ascii="仿宋" w:hAnsi="仿宋" w:eastAsia="仿宋"/>
          <w:b/>
          <w:sz w:val="24"/>
        </w:rPr>
        <w:t>免费且有效下载网址：优质采云采购平台（</w:t>
      </w:r>
      <w:r>
        <w:rPr>
          <w:rFonts w:ascii="仿宋" w:hAnsi="仿宋" w:eastAsia="仿宋"/>
          <w:b/>
          <w:sz w:val="24"/>
        </w:rPr>
        <w:t>https://www.youzhicai.com/</w:t>
      </w:r>
      <w:r>
        <w:rPr>
          <w:rFonts w:hint="eastAsia" w:ascii="仿宋" w:hAnsi="仿宋" w:eastAsia="仿宋"/>
          <w:b/>
          <w:sz w:val="24"/>
        </w:rPr>
        <w:t>）</w:t>
      </w:r>
    </w:p>
    <w:p>
      <w:pPr>
        <w:spacing w:line="360" w:lineRule="auto"/>
        <w:ind w:firstLine="482" w:firstLineChars="200"/>
        <w:rPr>
          <w:rFonts w:ascii="仿宋" w:hAnsi="仿宋" w:eastAsia="仿宋"/>
          <w:b/>
          <w:sz w:val="24"/>
        </w:rPr>
      </w:pPr>
      <w:r>
        <w:rPr>
          <w:rFonts w:hint="eastAsia" w:ascii="仿宋" w:hAnsi="仿宋" w:eastAsia="仿宋"/>
          <w:b/>
          <w:sz w:val="24"/>
        </w:rPr>
        <w:t>供应商作为投标主体在优质采云采购平台参与医院项目投标时享有以下权利：</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（一）免费注册为该平台会员且免年费；</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（二）无偿且无差别：1、查看医院发布的采购公告，2、下载招标文件，3、完成电子版投标文件报名上传工作；</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（三）第一中标候选人在公示无异议后仅须向平台一次性缴纳技术服务费300元/项目；</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（四）上述如有不实之处，请于招标办联系，另：潜在供应商未在优质采平台下载招标文件并线上报名和提交电子版投标文件视同无效投标；</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十、响应文件的递交：</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1、供应商首先在优质采平台完成线上报名和提交电子版投标文件，其次将纸质版标书（正本壹份，副本贰份）密封装订现场递交，递交截止（开标）时间:2021年5月1</w:t>
      </w:r>
      <w:r>
        <w:rPr>
          <w:rFonts w:hint="eastAsia" w:ascii="宋体" w:hAnsi="宋体" w:cs="Arial"/>
          <w:bCs/>
          <w:color w:val="000000"/>
          <w:kern w:val="0"/>
          <w:sz w:val="24"/>
          <w:lang w:val="en-US" w:eastAsia="zh-CN"/>
        </w:rPr>
        <w:t>2</w:t>
      </w:r>
      <w:r>
        <w:rPr>
          <w:rFonts w:hint="eastAsia" w:ascii="宋体" w:hAnsi="宋体" w:cs="Arial"/>
          <w:bCs/>
          <w:color w:val="000000"/>
          <w:kern w:val="0"/>
          <w:sz w:val="24"/>
        </w:rPr>
        <w:t>日</w:t>
      </w:r>
      <w:r>
        <w:rPr>
          <w:rFonts w:hint="eastAsia" w:ascii="宋体" w:hAnsi="宋体" w:cs="Arial"/>
          <w:bCs/>
          <w:color w:val="000000"/>
          <w:kern w:val="0"/>
          <w:sz w:val="24"/>
          <w:lang w:val="en-US" w:eastAsia="zh-CN"/>
        </w:rPr>
        <w:t>15</w:t>
      </w:r>
      <w:r>
        <w:rPr>
          <w:rFonts w:hint="eastAsia" w:ascii="宋体" w:hAnsi="宋体" w:cs="Arial"/>
          <w:bCs/>
          <w:color w:val="000000"/>
          <w:kern w:val="0"/>
          <w:sz w:val="24"/>
        </w:rPr>
        <w:t>:00时前。</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2、送达地址</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开标地址：六安市中医院A座住院部20楼</w:t>
      </w:r>
      <w:r>
        <w:rPr>
          <w:rFonts w:hint="eastAsia" w:ascii="宋体" w:hAnsi="宋体" w:cs="Arial"/>
          <w:bCs/>
          <w:color w:val="auto"/>
          <w:kern w:val="0"/>
          <w:sz w:val="24"/>
        </w:rPr>
        <w:t>第</w:t>
      </w:r>
      <w:r>
        <w:rPr>
          <w:rFonts w:hint="eastAsia" w:ascii="宋体" w:hAnsi="宋体" w:cs="Arial"/>
          <w:bCs/>
          <w:color w:val="auto"/>
          <w:kern w:val="0"/>
          <w:sz w:val="24"/>
          <w:lang w:eastAsia="zh-CN"/>
        </w:rPr>
        <w:t>一</w:t>
      </w:r>
      <w:r>
        <w:rPr>
          <w:rFonts w:hint="eastAsia" w:ascii="宋体" w:hAnsi="宋体" w:cs="Arial"/>
          <w:bCs/>
          <w:color w:val="auto"/>
          <w:kern w:val="0"/>
          <w:sz w:val="24"/>
        </w:rPr>
        <w:t>会议室</w:t>
      </w:r>
      <w:r>
        <w:rPr>
          <w:rFonts w:hint="eastAsia" w:ascii="宋体" w:hAnsi="宋体" w:cs="Arial"/>
          <w:bCs/>
          <w:color w:val="000000"/>
          <w:kern w:val="0"/>
          <w:sz w:val="24"/>
        </w:rPr>
        <w:t>；</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总务科地址：六安市中医院A座住院部19楼东；</w:t>
      </w:r>
    </w:p>
    <w:p>
      <w:pPr>
        <w:spacing w:line="360" w:lineRule="exact"/>
        <w:ind w:firstLine="480" w:firstLineChars="200"/>
        <w:rPr>
          <w:rFonts w:ascii="宋体" w:hAnsi="宋体" w:cs="Arial"/>
          <w:bCs/>
          <w:color w:val="000000"/>
          <w:kern w:val="0"/>
          <w:sz w:val="24"/>
        </w:rPr>
      </w:pPr>
      <w:r>
        <w:rPr>
          <w:rFonts w:hint="eastAsia" w:ascii="宋体" w:hAnsi="宋体" w:cs="Arial"/>
          <w:bCs/>
          <w:color w:val="000000"/>
          <w:kern w:val="0"/>
          <w:sz w:val="24"/>
        </w:rPr>
        <w:t>3、密封袋须注明：投标项目名称、编号、联系人及联系方式。逾期送达的或者未送达指定地点的响应文件，招标人不予受理。</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十一、备注：</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1、本项目评审办法为</w:t>
      </w:r>
      <w:r>
        <w:rPr>
          <w:rFonts w:hint="eastAsia" w:ascii="宋体" w:hAnsi="宋体" w:cs="Arial"/>
          <w:b/>
          <w:color w:val="000000"/>
          <w:kern w:val="0"/>
          <w:sz w:val="24"/>
        </w:rPr>
        <w:t>多次报价后执行有效最低价合格制评审法且开标当天不宣布中标结果，潜在投标供应商不认可本评审办法可拒绝投标</w:t>
      </w:r>
      <w:r>
        <w:rPr>
          <w:rFonts w:hint="eastAsia" w:ascii="宋体" w:hAnsi="宋体" w:cs="Arial"/>
          <w:color w:val="000000"/>
          <w:kern w:val="0"/>
          <w:sz w:val="24"/>
        </w:rPr>
        <w:t>。</w:t>
      </w:r>
    </w:p>
    <w:p>
      <w:pPr>
        <w:widowControl/>
        <w:spacing w:line="360" w:lineRule="auto"/>
        <w:ind w:firstLine="480"/>
        <w:rPr>
          <w:rFonts w:ascii="宋体" w:hAnsi="宋体" w:cs="Arial"/>
          <w:bCs/>
          <w:color w:val="FF0000"/>
          <w:kern w:val="0"/>
          <w:sz w:val="24"/>
        </w:rPr>
      </w:pPr>
      <w:r>
        <w:rPr>
          <w:rFonts w:hint="eastAsia" w:ascii="宋体" w:hAnsi="宋体" w:cs="Arial"/>
          <w:b/>
          <w:color w:val="000000"/>
          <w:kern w:val="0"/>
          <w:sz w:val="24"/>
        </w:rPr>
        <w:t>2、本项目无响应保证金制度。</w:t>
      </w:r>
      <w:r>
        <w:rPr>
          <w:rFonts w:ascii="宋体" w:hAnsi="宋体" w:cs="Arial"/>
          <w:bCs/>
          <w:color w:val="FF0000"/>
          <w:kern w:val="0"/>
          <w:sz w:val="24"/>
        </w:rPr>
        <w:tab/>
      </w:r>
    </w:p>
    <w:p>
      <w:pPr>
        <w:widowControl/>
        <w:spacing w:line="360" w:lineRule="auto"/>
        <w:ind w:firstLine="480"/>
        <w:rPr>
          <w:rFonts w:ascii="宋体" w:hAnsi="宋体" w:cs="Arial"/>
          <w:color w:val="000000"/>
          <w:kern w:val="0"/>
          <w:szCs w:val="21"/>
        </w:rPr>
      </w:pPr>
      <w:r>
        <w:rPr>
          <w:rFonts w:hint="eastAsia" w:ascii="宋体" w:hAnsi="宋体" w:cs="Arial"/>
          <w:color w:val="000000"/>
          <w:kern w:val="0"/>
          <w:sz w:val="24"/>
        </w:rPr>
        <w:t>3、供应商的法定代表人或其授权委托代理人必须参加</w:t>
      </w:r>
      <w:r>
        <w:rPr>
          <w:rFonts w:hint="eastAsia" w:ascii="宋体" w:hAnsi="宋体" w:cs="Arial"/>
          <w:color w:val="000000"/>
          <w:kern w:val="0"/>
          <w:sz w:val="24"/>
          <w:lang w:eastAsia="zh-CN"/>
        </w:rPr>
        <w:t>招标</w:t>
      </w:r>
      <w:r>
        <w:rPr>
          <w:rFonts w:hint="eastAsia" w:ascii="宋体" w:hAnsi="宋体" w:cs="Arial"/>
          <w:color w:val="000000"/>
          <w:kern w:val="0"/>
          <w:sz w:val="24"/>
        </w:rPr>
        <w:t>会议。</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十二、联系事项：</w:t>
      </w:r>
    </w:p>
    <w:bookmarkEnd w:id="0"/>
    <w:bookmarkEnd w:id="1"/>
    <w:p>
      <w:pPr>
        <w:widowControl/>
        <w:spacing w:line="360" w:lineRule="auto"/>
        <w:ind w:firstLine="480"/>
        <w:rPr>
          <w:rFonts w:ascii="宋体" w:hAnsi="宋体" w:cs="Arial"/>
          <w:color w:val="000000"/>
          <w:kern w:val="0"/>
          <w:szCs w:val="21"/>
        </w:rPr>
      </w:pPr>
      <w:r>
        <w:rPr>
          <w:rFonts w:hint="eastAsia" w:ascii="宋体" w:hAnsi="宋体" w:cs="Arial"/>
          <w:color w:val="000000"/>
          <w:kern w:val="0"/>
          <w:sz w:val="24"/>
        </w:rPr>
        <w:t xml:space="preserve">1、招标人：六安市中医院 </w:t>
      </w:r>
      <w:r>
        <w:rPr>
          <w:rFonts w:ascii="宋体" w:hAnsi="宋体" w:cs="Arial"/>
          <w:color w:val="000000"/>
          <w:kern w:val="0"/>
          <w:sz w:val="24"/>
        </w:rPr>
        <w:t xml:space="preserve">    </w:t>
      </w:r>
      <w:r>
        <w:rPr>
          <w:rFonts w:hint="eastAsia" w:ascii="宋体" w:hAnsi="宋体" w:cs="Arial"/>
          <w:color w:val="000000"/>
          <w:kern w:val="0"/>
          <w:sz w:val="24"/>
        </w:rPr>
        <w:t xml:space="preserve">联系人：夏工、方工 </w:t>
      </w:r>
    </w:p>
    <w:p>
      <w:pPr>
        <w:widowControl/>
        <w:spacing w:line="360" w:lineRule="auto"/>
        <w:ind w:firstLine="720" w:firstLineChars="300"/>
        <w:rPr>
          <w:rFonts w:ascii="宋体" w:hAnsi="宋体" w:cs="Arial"/>
          <w:color w:val="000000"/>
          <w:kern w:val="0"/>
          <w:szCs w:val="21"/>
        </w:rPr>
      </w:pPr>
      <w:r>
        <w:rPr>
          <w:rFonts w:hint="eastAsia" w:ascii="宋体" w:hAnsi="宋体" w:cs="Arial"/>
          <w:color w:val="000000"/>
          <w:kern w:val="0"/>
          <w:sz w:val="24"/>
        </w:rPr>
        <w:t>联系方式： 0</w:t>
      </w:r>
      <w:r>
        <w:rPr>
          <w:rFonts w:ascii="宋体" w:hAnsi="宋体" w:cs="Arial"/>
          <w:color w:val="000000"/>
          <w:kern w:val="0"/>
          <w:sz w:val="24"/>
        </w:rPr>
        <w:t>564</w:t>
      </w:r>
      <w:r>
        <w:rPr>
          <w:rFonts w:hint="eastAsia" w:ascii="宋体" w:hAnsi="宋体" w:cs="Arial"/>
          <w:color w:val="000000"/>
          <w:kern w:val="0"/>
          <w:sz w:val="24"/>
        </w:rPr>
        <w:t>-3597279</w:t>
      </w:r>
    </w:p>
    <w:p>
      <w:pPr>
        <w:widowControl/>
        <w:spacing w:line="360" w:lineRule="auto"/>
        <w:ind w:left="659" w:leftChars="314" w:right="522"/>
        <w:jc w:val="left"/>
        <w:rPr>
          <w:rFonts w:ascii="宋体" w:hAnsi="宋体" w:cs="宋体"/>
          <w:color w:val="000000"/>
          <w:kern w:val="0"/>
          <w:sz w:val="24"/>
        </w:rPr>
      </w:pPr>
      <w:r>
        <w:rPr>
          <w:rFonts w:hint="eastAsia" w:ascii="宋体" w:hAnsi="宋体" w:cs="Arial"/>
          <w:b/>
          <w:bCs/>
          <w:color w:val="000000"/>
          <w:kern w:val="0"/>
          <w:sz w:val="26"/>
          <w:szCs w:val="26"/>
          <w:shd w:val="clear" w:color="auto" w:fill="FFFFFF"/>
        </w:rPr>
        <w:t>备注：本项目在</w:t>
      </w:r>
      <w:r>
        <w:rPr>
          <w:rFonts w:hint="eastAsia" w:ascii="宋体" w:hAnsi="宋体" w:cs="Arial"/>
          <w:b/>
          <w:bCs/>
          <w:color w:val="000000"/>
          <w:kern w:val="0"/>
          <w:sz w:val="26"/>
          <w:szCs w:val="26"/>
          <w:shd w:val="clear" w:color="auto" w:fill="FFFFFF"/>
          <w:lang w:eastAsia="zh-CN"/>
        </w:rPr>
        <w:t>招标</w:t>
      </w:r>
      <w:r>
        <w:rPr>
          <w:rFonts w:hint="eastAsia" w:ascii="宋体" w:hAnsi="宋体" w:cs="Arial"/>
          <w:b/>
          <w:bCs/>
          <w:color w:val="000000"/>
          <w:kern w:val="0"/>
          <w:sz w:val="26"/>
          <w:szCs w:val="26"/>
          <w:shd w:val="clear" w:color="auto" w:fill="FFFFFF"/>
        </w:rPr>
        <w:t>过程中，任何异议投诉等事项均由招标人负责处理。</w:t>
      </w:r>
    </w:p>
    <w:p>
      <w:pPr>
        <w:widowControl/>
        <w:spacing w:line="440" w:lineRule="exact"/>
        <w:jc w:val="left"/>
        <w:rPr>
          <w:rFonts w:ascii="宋体" w:hAnsi="宋体" w:cs="宋体"/>
          <w:color w:val="000000"/>
          <w:kern w:val="0"/>
          <w:sz w:val="24"/>
        </w:rPr>
      </w:pPr>
      <w:r>
        <w:rPr>
          <w:rFonts w:ascii="宋体" w:hAnsi="宋体" w:cs="宋体"/>
          <w:color w:val="000000"/>
          <w:kern w:val="0"/>
          <w:sz w:val="24"/>
        </w:rPr>
        <w:br w:type="page"/>
      </w:r>
      <w:bookmarkEnd w:id="2"/>
      <w:r>
        <w:rPr>
          <w:rFonts w:hint="eastAsia" w:ascii="宋体" w:hAnsi="宋体" w:cs="宋体"/>
          <w:color w:val="000000"/>
          <w:kern w:val="0"/>
          <w:sz w:val="24"/>
        </w:rPr>
        <w:t xml:space="preserve">   </w:t>
      </w:r>
    </w:p>
    <w:p>
      <w:pPr>
        <w:spacing w:before="480" w:beforeLines="200" w:after="960" w:afterLines="400" w:line="540" w:lineRule="exact"/>
        <w:jc w:val="center"/>
        <w:rPr>
          <w:rFonts w:ascii="宋体" w:hAnsi="宋体"/>
          <w:b/>
          <w:bCs/>
          <w:color w:val="000000"/>
          <w:sz w:val="36"/>
        </w:rPr>
      </w:pPr>
      <w:r>
        <w:rPr>
          <w:rFonts w:hint="eastAsia" w:ascii="宋体" w:hAnsi="宋体"/>
          <w:b/>
          <w:bCs/>
          <w:color w:val="000000"/>
          <w:sz w:val="36"/>
        </w:rPr>
        <w:t>目    录</w:t>
      </w:r>
    </w:p>
    <w:p>
      <w:pPr>
        <w:spacing w:line="360" w:lineRule="auto"/>
        <w:jc w:val="left"/>
        <w:rPr>
          <w:rFonts w:ascii="宋体" w:hAnsi="宋体"/>
          <w:color w:val="000000"/>
          <w:sz w:val="32"/>
          <w:szCs w:val="32"/>
        </w:rPr>
      </w:pPr>
      <w:r>
        <w:rPr>
          <w:rFonts w:hint="eastAsia" w:ascii="宋体" w:hAnsi="宋体"/>
          <w:color w:val="000000"/>
          <w:sz w:val="32"/>
          <w:szCs w:val="32"/>
          <w:lang w:eastAsia="zh-CN"/>
        </w:rPr>
        <w:t>招标</w:t>
      </w:r>
      <w:r>
        <w:rPr>
          <w:rFonts w:hint="eastAsia" w:ascii="宋体" w:hAnsi="宋体"/>
          <w:color w:val="000000"/>
          <w:sz w:val="32"/>
          <w:szCs w:val="32"/>
        </w:rPr>
        <w:t>公告</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一、投标须知</w:t>
      </w:r>
    </w:p>
    <w:p>
      <w:pPr>
        <w:adjustRightInd w:val="0"/>
        <w:snapToGrid w:val="0"/>
        <w:spacing w:line="360" w:lineRule="auto"/>
        <w:jc w:val="left"/>
        <w:rPr>
          <w:rFonts w:ascii="宋体" w:hAnsi="宋体"/>
          <w:b/>
          <w:bCs/>
          <w:color w:val="000000"/>
          <w:sz w:val="32"/>
          <w:szCs w:val="32"/>
        </w:rPr>
      </w:pPr>
      <w:r>
        <w:rPr>
          <w:rFonts w:hint="eastAsia" w:ascii="宋体" w:hAnsi="宋体"/>
          <w:color w:val="000000"/>
          <w:sz w:val="32"/>
          <w:szCs w:val="32"/>
        </w:rPr>
        <w:t>二、评审办法</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三、技术要求</w:t>
      </w:r>
    </w:p>
    <w:p>
      <w:pPr>
        <w:adjustRightInd w:val="0"/>
        <w:snapToGrid w:val="0"/>
        <w:spacing w:line="360" w:lineRule="auto"/>
        <w:jc w:val="left"/>
        <w:rPr>
          <w:rFonts w:ascii="宋体" w:hAnsi="宋体"/>
          <w:b/>
          <w:bCs/>
          <w:color w:val="000000"/>
          <w:sz w:val="32"/>
          <w:szCs w:val="32"/>
        </w:rPr>
      </w:pPr>
      <w:r>
        <w:rPr>
          <w:rFonts w:hint="eastAsia" w:ascii="宋体" w:hAnsi="宋体"/>
          <w:color w:val="000000"/>
          <w:sz w:val="32"/>
          <w:szCs w:val="32"/>
        </w:rPr>
        <w:t>四、合同条款及格式</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五</w:t>
      </w:r>
      <w:r>
        <w:rPr>
          <w:rFonts w:ascii="宋体" w:hAnsi="宋体"/>
          <w:color w:val="000000"/>
          <w:sz w:val="32"/>
          <w:szCs w:val="32"/>
        </w:rPr>
        <w:t>、</w:t>
      </w:r>
      <w:r>
        <w:rPr>
          <w:rFonts w:hint="eastAsia" w:ascii="宋体" w:hAnsi="宋体"/>
          <w:color w:val="000000"/>
          <w:sz w:val="32"/>
          <w:szCs w:val="32"/>
        </w:rPr>
        <w:t>响应文件格式</w:t>
      </w:r>
    </w:p>
    <w:p>
      <w:pPr>
        <w:adjustRightInd w:val="0"/>
        <w:snapToGrid w:val="0"/>
        <w:spacing w:line="360" w:lineRule="auto"/>
        <w:jc w:val="left"/>
        <w:rPr>
          <w:rFonts w:ascii="宋体" w:hAnsi="宋体"/>
          <w:b/>
          <w:bCs/>
          <w:color w:val="000000"/>
          <w:sz w:val="32"/>
          <w:szCs w:val="32"/>
        </w:rPr>
      </w:pPr>
    </w:p>
    <w:p>
      <w:pPr>
        <w:adjustRightInd w:val="0"/>
        <w:snapToGrid w:val="0"/>
        <w:spacing w:before="48" w:beforeLines="20" w:after="48" w:afterLines="20" w:line="540" w:lineRule="exact"/>
        <w:jc w:val="center"/>
        <w:rPr>
          <w:rFonts w:ascii="宋体" w:hAnsi="宋体"/>
          <w:b/>
          <w:bCs/>
          <w:color w:val="000000"/>
          <w:sz w:val="36"/>
        </w:rPr>
      </w:pPr>
    </w:p>
    <w:p>
      <w:pPr>
        <w:adjustRightInd w:val="0"/>
        <w:snapToGrid w:val="0"/>
        <w:spacing w:before="48" w:beforeLines="20" w:after="48" w:afterLines="20" w:line="540" w:lineRule="exact"/>
        <w:jc w:val="center"/>
        <w:rPr>
          <w:rFonts w:ascii="宋体" w:hAnsi="宋体"/>
          <w:b/>
          <w:bCs/>
          <w:color w:val="000000"/>
          <w:sz w:val="36"/>
        </w:rPr>
      </w:pPr>
    </w:p>
    <w:p>
      <w:pPr>
        <w:pStyle w:val="2"/>
        <w:rPr>
          <w:rFonts w:ascii="宋体" w:hAnsi="宋体" w:eastAsia="宋体"/>
          <w:color w:val="000000"/>
        </w:rPr>
      </w:pPr>
      <w:r>
        <w:rPr>
          <w:rFonts w:ascii="宋体" w:hAnsi="宋体" w:eastAsia="宋体"/>
          <w:color w:val="000000"/>
        </w:rPr>
        <w:br w:type="page"/>
      </w:r>
      <w:r>
        <w:rPr>
          <w:rFonts w:hint="eastAsia" w:ascii="宋体" w:hAnsi="宋体" w:eastAsia="宋体"/>
          <w:color w:val="000000"/>
        </w:rPr>
        <w:t>一、投标须知</w:t>
      </w:r>
    </w:p>
    <w:p>
      <w:pPr>
        <w:pStyle w:val="4"/>
        <w:rPr>
          <w:rFonts w:ascii="宋体" w:hAnsi="宋体"/>
          <w:color w:val="000000"/>
        </w:rPr>
      </w:pPr>
      <w:bookmarkStart w:id="4" w:name="_一、投标须知前附表"/>
      <w:bookmarkEnd w:id="4"/>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项目概况</w:t>
      </w:r>
    </w:p>
    <w:p>
      <w:pPr>
        <w:widowControl/>
        <w:spacing w:line="360" w:lineRule="auto"/>
        <w:ind w:firstLine="480" w:firstLineChars="200"/>
        <w:jc w:val="left"/>
        <w:rPr>
          <w:rFonts w:ascii="宋体" w:hAnsi="宋体" w:cs="Arial"/>
          <w:bCs/>
          <w:color w:val="000000"/>
          <w:kern w:val="0"/>
          <w:sz w:val="24"/>
        </w:rPr>
      </w:pPr>
      <w:r>
        <w:rPr>
          <w:rFonts w:hint="eastAsia" w:ascii="宋体" w:hAnsi="宋体"/>
          <w:sz w:val="24"/>
        </w:rPr>
        <w:t>本项目工程内容包含：六安市中医院西边学生公寓楼五楼原活动板房的拆除</w:t>
      </w:r>
      <w:r>
        <w:rPr>
          <w:rFonts w:ascii="宋体" w:hAnsi="宋体"/>
          <w:sz w:val="24"/>
        </w:rPr>
        <w:t>;</w:t>
      </w:r>
      <w:r>
        <w:rPr>
          <w:rFonts w:hint="eastAsia" w:ascii="宋体" w:hAnsi="宋体"/>
          <w:sz w:val="24"/>
        </w:rPr>
        <w:t>防水隔热层新建;油烟过滤器移位（包括移位所必须的管道、线缆增加，设备的基础、防雨和防护措施）等，具体内容详见施工图纸。</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招标人</w:t>
      </w:r>
    </w:p>
    <w:p>
      <w:pPr>
        <w:adjustRightInd w:val="0"/>
        <w:snapToGrid w:val="0"/>
        <w:spacing w:line="500" w:lineRule="exact"/>
        <w:ind w:firstLine="505"/>
        <w:rPr>
          <w:rFonts w:ascii="宋体" w:hAnsi="宋体"/>
          <w:color w:val="000000"/>
          <w:sz w:val="24"/>
        </w:rPr>
      </w:pPr>
      <w:r>
        <w:rPr>
          <w:rFonts w:hint="eastAsia" w:ascii="宋体" w:hAnsi="宋体"/>
          <w:color w:val="000000"/>
          <w:sz w:val="24"/>
        </w:rPr>
        <w:t>招标人：</w:t>
      </w:r>
      <w:r>
        <w:rPr>
          <w:rFonts w:hint="eastAsia" w:ascii="宋体" w:hAnsi="宋体"/>
          <w:color w:val="000000"/>
          <w:sz w:val="24"/>
          <w:u w:val="single"/>
        </w:rPr>
        <w:t xml:space="preserve">六安市中医院 </w:t>
      </w:r>
    </w:p>
    <w:p>
      <w:pPr>
        <w:adjustRightInd w:val="0"/>
        <w:snapToGrid w:val="0"/>
        <w:spacing w:line="500" w:lineRule="exact"/>
        <w:ind w:firstLine="505"/>
        <w:rPr>
          <w:rFonts w:ascii="宋体" w:hAnsi="宋体"/>
          <w:color w:val="000000"/>
          <w:sz w:val="24"/>
        </w:rPr>
      </w:pPr>
      <w:r>
        <w:rPr>
          <w:rFonts w:hint="eastAsia" w:ascii="宋体" w:hAnsi="宋体"/>
          <w:color w:val="000000"/>
          <w:sz w:val="24"/>
        </w:rPr>
        <w:t>电话：</w:t>
      </w:r>
      <w:r>
        <w:rPr>
          <w:rFonts w:hint="eastAsia" w:ascii="宋体" w:hAnsi="宋体"/>
          <w:color w:val="000000"/>
          <w:sz w:val="24"/>
          <w:u w:val="single"/>
        </w:rPr>
        <w:t>0564-</w:t>
      </w:r>
      <w:r>
        <w:rPr>
          <w:rFonts w:ascii="宋体" w:hAnsi="宋体"/>
          <w:color w:val="000000"/>
          <w:sz w:val="24"/>
          <w:u w:val="single"/>
        </w:rPr>
        <w:t>3597279</w:t>
      </w:r>
      <w:r>
        <w:rPr>
          <w:rFonts w:hint="eastAsia" w:ascii="宋体" w:hAnsi="宋体"/>
          <w:color w:val="000000"/>
          <w:sz w:val="24"/>
          <w:u w:val="single"/>
        </w:rPr>
        <w:t xml:space="preserve">  </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lang w:eastAsia="zh-CN"/>
        </w:rPr>
        <w:t>招标</w:t>
      </w:r>
      <w:r>
        <w:rPr>
          <w:rFonts w:hint="eastAsia"/>
          <w:bCs/>
          <w:color w:val="000000"/>
        </w:rPr>
        <w:t>范围、计划工期和质量要求</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3.1 本次</w:t>
      </w:r>
      <w:r>
        <w:rPr>
          <w:rFonts w:hint="eastAsia" w:ascii="宋体" w:hAnsi="宋体"/>
          <w:color w:val="000000"/>
          <w:sz w:val="24"/>
          <w:lang w:eastAsia="zh-CN"/>
        </w:rPr>
        <w:t>招标</w:t>
      </w:r>
      <w:r>
        <w:rPr>
          <w:rFonts w:hint="eastAsia" w:ascii="宋体" w:hAnsi="宋体"/>
          <w:color w:val="000000"/>
          <w:sz w:val="24"/>
        </w:rPr>
        <w:t>范围：详见</w:t>
      </w:r>
      <w:r>
        <w:rPr>
          <w:rFonts w:hint="eastAsia" w:ascii="宋体" w:hAnsi="宋体"/>
          <w:color w:val="000000"/>
          <w:sz w:val="24"/>
          <w:lang w:eastAsia="zh-CN"/>
        </w:rPr>
        <w:t>招标</w:t>
      </w:r>
      <w:r>
        <w:rPr>
          <w:rFonts w:hint="eastAsia" w:ascii="宋体" w:hAnsi="宋体"/>
          <w:color w:val="000000"/>
          <w:sz w:val="24"/>
        </w:rPr>
        <w:t>公告。</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3.2本工程的计划工期：约 </w:t>
      </w:r>
      <w:r>
        <w:rPr>
          <w:rFonts w:ascii="宋体" w:hAnsi="宋体"/>
          <w:color w:val="000000"/>
          <w:sz w:val="24"/>
        </w:rPr>
        <w:t>45</w:t>
      </w:r>
      <w:r>
        <w:rPr>
          <w:rFonts w:hint="eastAsia" w:ascii="宋体" w:hAnsi="宋体"/>
          <w:color w:val="000000"/>
          <w:sz w:val="24"/>
        </w:rPr>
        <w:t>日历天。</w:t>
      </w:r>
    </w:p>
    <w:p>
      <w:pPr>
        <w:adjustRightInd w:val="0"/>
        <w:snapToGrid w:val="0"/>
        <w:spacing w:line="500" w:lineRule="exact"/>
        <w:ind w:firstLine="505"/>
        <w:rPr>
          <w:rFonts w:ascii="宋体" w:hAnsi="宋体"/>
          <w:color w:val="000000"/>
          <w:sz w:val="24"/>
        </w:rPr>
      </w:pPr>
      <w:r>
        <w:rPr>
          <w:rFonts w:hint="eastAsia" w:ascii="宋体" w:hAnsi="宋体"/>
          <w:color w:val="000000"/>
          <w:sz w:val="24"/>
        </w:rPr>
        <w:t>3.3 本工程的质量要求：《建筑工程施工质量验收统一标准》合格标准，且须确保最终通过相关部门的检测验收。</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3.4 本工程质保期为3年。</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供应商的资格要求</w:t>
      </w:r>
    </w:p>
    <w:p>
      <w:pPr>
        <w:spacing w:line="400" w:lineRule="exact"/>
        <w:ind w:firstLine="600" w:firstLineChars="250"/>
        <w:rPr>
          <w:rFonts w:ascii="宋体" w:hAnsi="宋体" w:cs="Arial"/>
          <w:color w:val="000000"/>
          <w:kern w:val="0"/>
          <w:sz w:val="24"/>
        </w:rPr>
      </w:pPr>
      <w:r>
        <w:rPr>
          <w:rFonts w:hint="eastAsia" w:ascii="宋体" w:hAnsi="宋体" w:cs="Arial"/>
          <w:color w:val="000000"/>
          <w:kern w:val="0"/>
          <w:sz w:val="24"/>
        </w:rPr>
        <w:t>详见</w:t>
      </w:r>
      <w:r>
        <w:rPr>
          <w:rFonts w:hint="eastAsia" w:ascii="宋体" w:hAnsi="宋体" w:cs="Arial"/>
          <w:color w:val="000000"/>
          <w:kern w:val="0"/>
          <w:sz w:val="24"/>
          <w:lang w:eastAsia="zh-CN"/>
        </w:rPr>
        <w:t>招标</w:t>
      </w:r>
      <w:r>
        <w:rPr>
          <w:rFonts w:hint="eastAsia" w:ascii="宋体" w:hAnsi="宋体" w:cs="Arial"/>
          <w:color w:val="000000"/>
          <w:kern w:val="0"/>
          <w:sz w:val="24"/>
        </w:rPr>
        <w:t>公告</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语言文字、计量单位</w:t>
      </w:r>
    </w:p>
    <w:p>
      <w:pPr>
        <w:adjustRightInd w:val="0"/>
        <w:snapToGrid w:val="0"/>
        <w:spacing w:line="500" w:lineRule="exact"/>
        <w:ind w:firstLine="505"/>
        <w:rPr>
          <w:rFonts w:ascii="宋体" w:hAnsi="宋体"/>
          <w:color w:val="000000"/>
          <w:sz w:val="24"/>
        </w:rPr>
      </w:pPr>
      <w:r>
        <w:rPr>
          <w:rFonts w:hint="eastAsia" w:ascii="宋体" w:hAnsi="宋体"/>
          <w:color w:val="000000"/>
          <w:sz w:val="24"/>
        </w:rPr>
        <w:t>5.1 除专用术语外，与</w:t>
      </w:r>
      <w:r>
        <w:rPr>
          <w:rFonts w:hint="eastAsia" w:ascii="宋体" w:hAnsi="宋体"/>
          <w:color w:val="000000"/>
          <w:sz w:val="24"/>
          <w:lang w:eastAsia="zh-CN"/>
        </w:rPr>
        <w:t>招标</w:t>
      </w:r>
      <w:r>
        <w:rPr>
          <w:rFonts w:hint="eastAsia" w:ascii="宋体" w:hAnsi="宋体"/>
          <w:color w:val="000000"/>
          <w:sz w:val="24"/>
        </w:rPr>
        <w:t>投标有关的语言均使用中文。</w:t>
      </w:r>
    </w:p>
    <w:p>
      <w:pPr>
        <w:adjustRightInd w:val="0"/>
        <w:snapToGrid w:val="0"/>
        <w:spacing w:line="500" w:lineRule="exact"/>
        <w:ind w:firstLine="505"/>
        <w:rPr>
          <w:rFonts w:ascii="宋体" w:hAnsi="宋体"/>
          <w:color w:val="000000"/>
          <w:sz w:val="24"/>
        </w:rPr>
      </w:pPr>
      <w:r>
        <w:rPr>
          <w:rFonts w:hint="eastAsia" w:ascii="宋体" w:hAnsi="宋体"/>
          <w:color w:val="000000"/>
          <w:sz w:val="24"/>
        </w:rPr>
        <w:t>5.2 所有计量均采用中华人民共和国法定计量单位。</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合同方式</w:t>
      </w:r>
    </w:p>
    <w:p>
      <w:pPr>
        <w:spacing w:before="120" w:beforeLines="50" w:after="120" w:afterLines="50"/>
        <w:ind w:left="839" w:leftChars="228" w:hanging="360" w:hangingChars="150"/>
        <w:rPr>
          <w:rFonts w:ascii="宋体" w:hAnsi="宋体"/>
          <w:color w:val="000000"/>
          <w:sz w:val="24"/>
        </w:rPr>
      </w:pPr>
      <w:r>
        <w:rPr>
          <w:rFonts w:hint="eastAsia" w:ascii="宋体" w:hAnsi="宋体"/>
          <w:color w:val="000000"/>
          <w:sz w:val="24"/>
        </w:rPr>
        <w:t>本工程合同采用固定总价。（本项目为交钥匙工程）。</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计价方式</w:t>
      </w:r>
    </w:p>
    <w:p>
      <w:pPr>
        <w:adjustRightInd w:val="0"/>
        <w:snapToGrid w:val="0"/>
        <w:spacing w:line="500" w:lineRule="exact"/>
        <w:ind w:firstLine="505"/>
        <w:rPr>
          <w:rFonts w:ascii="宋体" w:hAnsi="宋体"/>
          <w:color w:val="000000"/>
          <w:sz w:val="24"/>
        </w:rPr>
      </w:pPr>
      <w:r>
        <w:rPr>
          <w:rFonts w:hint="eastAsia" w:ascii="宋体" w:hAnsi="宋体"/>
          <w:color w:val="000000"/>
          <w:sz w:val="24"/>
        </w:rPr>
        <w:t>本工程采用工程量清单计价。</w:t>
      </w:r>
    </w:p>
    <w:p>
      <w:pPr>
        <w:pStyle w:val="7"/>
        <w:keepNext w:val="0"/>
        <w:keepLines w:val="0"/>
        <w:widowControl w:val="0"/>
        <w:numPr>
          <w:ilvl w:val="0"/>
          <w:numId w:val="2"/>
        </w:numPr>
        <w:tabs>
          <w:tab w:val="left" w:pos="900"/>
        </w:tabs>
        <w:adjustRightInd w:val="0"/>
        <w:snapToGrid w:val="0"/>
        <w:spacing w:before="0" w:after="0" w:line="500" w:lineRule="exact"/>
        <w:ind w:left="0" w:firstLine="499"/>
        <w:rPr>
          <w:bCs/>
          <w:color w:val="000000"/>
        </w:rPr>
      </w:pPr>
      <w:r>
        <w:rPr>
          <w:rFonts w:hint="eastAsia"/>
          <w:bCs/>
          <w:color w:val="000000"/>
        </w:rPr>
        <w:t>响应有效期</w:t>
      </w:r>
    </w:p>
    <w:p>
      <w:pPr>
        <w:adjustRightInd w:val="0"/>
        <w:snapToGrid w:val="0"/>
        <w:spacing w:line="500" w:lineRule="exact"/>
        <w:ind w:firstLine="505"/>
        <w:rPr>
          <w:rFonts w:ascii="宋体" w:hAnsi="宋体"/>
          <w:color w:val="000000"/>
          <w:sz w:val="24"/>
        </w:rPr>
      </w:pPr>
      <w:r>
        <w:rPr>
          <w:rFonts w:hint="eastAsia" w:ascii="宋体" w:hAnsi="宋体"/>
          <w:color w:val="000000"/>
          <w:sz w:val="24"/>
        </w:rPr>
        <w:t xml:space="preserve">8.1 本工程响应有效期 </w:t>
      </w:r>
      <w:r>
        <w:rPr>
          <w:rFonts w:ascii="宋体" w:hAnsi="宋体"/>
          <w:color w:val="000000"/>
          <w:sz w:val="24"/>
        </w:rPr>
        <w:t>30</w:t>
      </w:r>
      <w:r>
        <w:rPr>
          <w:rFonts w:hint="eastAsia" w:ascii="宋体" w:hAnsi="宋体"/>
          <w:color w:val="000000"/>
          <w:sz w:val="24"/>
        </w:rPr>
        <w:t xml:space="preserve"> 日历天。</w:t>
      </w:r>
    </w:p>
    <w:p>
      <w:pPr>
        <w:adjustRightInd w:val="0"/>
        <w:snapToGrid w:val="0"/>
        <w:spacing w:line="500" w:lineRule="exact"/>
        <w:ind w:firstLine="505"/>
        <w:rPr>
          <w:rFonts w:ascii="宋体" w:hAnsi="宋体"/>
          <w:color w:val="000000"/>
          <w:sz w:val="24"/>
        </w:rPr>
      </w:pPr>
      <w:r>
        <w:rPr>
          <w:rFonts w:hint="eastAsia" w:ascii="宋体" w:hAnsi="宋体"/>
          <w:color w:val="000000"/>
          <w:sz w:val="24"/>
        </w:rPr>
        <w:t xml:space="preserve">8.2 在响应有效期内，供应商不得要求撤销或修改其响应文件。 </w:t>
      </w:r>
    </w:p>
    <w:p>
      <w:pPr>
        <w:adjustRightInd w:val="0"/>
        <w:snapToGrid w:val="0"/>
        <w:spacing w:line="500" w:lineRule="exact"/>
        <w:ind w:firstLine="505"/>
        <w:rPr>
          <w:rFonts w:ascii="宋体" w:hAnsi="宋体"/>
          <w:sz w:val="24"/>
        </w:rPr>
      </w:pPr>
      <w:r>
        <w:rPr>
          <w:rFonts w:hint="eastAsia" w:ascii="宋体" w:hAnsi="宋体"/>
          <w:color w:val="000000"/>
          <w:sz w:val="24"/>
        </w:rPr>
        <w:t>8.3 出现特殊情况需要延长响应有效期的，招标人以书面形式通知所有供应商延长响应有效期。供应商同意延长的，应相应延长其响应保证金的有效期，但不得要求或被允许修改或撤销其响应文件；</w:t>
      </w:r>
      <w:r>
        <w:rPr>
          <w:rFonts w:hint="eastAsia" w:ascii="宋体" w:hAnsi="宋体"/>
          <w:sz w:val="24"/>
        </w:rPr>
        <w:t>供应商拒绝延长的，其投标失效，但供应商有权收回其响应保证金。</w:t>
      </w:r>
    </w:p>
    <w:p>
      <w:pPr>
        <w:pStyle w:val="7"/>
        <w:keepNext w:val="0"/>
        <w:keepLines w:val="0"/>
        <w:widowControl w:val="0"/>
        <w:numPr>
          <w:ilvl w:val="0"/>
          <w:numId w:val="2"/>
        </w:numPr>
        <w:adjustRightInd w:val="0"/>
        <w:snapToGrid w:val="0"/>
        <w:spacing w:before="0" w:after="0" w:line="500" w:lineRule="exact"/>
        <w:ind w:left="0" w:firstLine="499"/>
        <w:rPr>
          <w:bCs/>
        </w:rPr>
      </w:pPr>
      <w:r>
        <w:rPr>
          <w:rFonts w:hint="eastAsia"/>
          <w:bCs/>
        </w:rPr>
        <w:t>投标担保</w:t>
      </w:r>
    </w:p>
    <w:p>
      <w:pPr>
        <w:rPr>
          <w:rFonts w:hint="default" w:eastAsia="宋体"/>
          <w:lang w:val="en-US" w:eastAsia="zh-CN"/>
        </w:rPr>
      </w:pPr>
      <w:r>
        <w:rPr>
          <w:rFonts w:hint="eastAsia"/>
          <w:bCs/>
          <w:lang w:val="en-US" w:eastAsia="zh-CN"/>
        </w:rPr>
        <w:t xml:space="preserve">     无</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履约保证金</w:t>
      </w:r>
    </w:p>
    <w:p>
      <w:pPr>
        <w:adjustRightInd w:val="0"/>
        <w:snapToGrid w:val="0"/>
        <w:spacing w:line="500" w:lineRule="exact"/>
        <w:ind w:firstLine="505"/>
        <w:rPr>
          <w:rFonts w:ascii="宋体" w:hAnsi="宋体"/>
          <w:sz w:val="24"/>
        </w:rPr>
      </w:pPr>
      <w:r>
        <w:rPr>
          <w:rFonts w:hint="eastAsia" w:ascii="宋体" w:hAnsi="宋体"/>
          <w:sz w:val="24"/>
        </w:rPr>
        <w:t>履约保证金为中标价的5%，在合同签订前转入招标人的指定账户，工程完成验收合格后无息退还。</w:t>
      </w:r>
    </w:p>
    <w:p>
      <w:pPr>
        <w:adjustRightInd w:val="0"/>
        <w:snapToGrid w:val="0"/>
        <w:spacing w:line="500" w:lineRule="exact"/>
        <w:ind w:firstLine="505"/>
        <w:rPr>
          <w:rFonts w:ascii="宋体" w:hAnsi="宋体"/>
          <w:sz w:val="24"/>
        </w:rPr>
      </w:pPr>
      <w:r>
        <w:rPr>
          <w:rFonts w:hint="eastAsia" w:ascii="宋体" w:hAnsi="宋体"/>
          <w:sz w:val="24"/>
        </w:rPr>
        <w:t>收款单位：六安市中医院</w:t>
      </w:r>
    </w:p>
    <w:p>
      <w:pPr>
        <w:adjustRightInd w:val="0"/>
        <w:snapToGrid w:val="0"/>
        <w:spacing w:line="500" w:lineRule="exact"/>
        <w:ind w:firstLine="505"/>
        <w:rPr>
          <w:rFonts w:ascii="宋体" w:hAnsi="宋体"/>
          <w:sz w:val="24"/>
        </w:rPr>
      </w:pPr>
      <w:r>
        <w:rPr>
          <w:rFonts w:hint="eastAsia" w:ascii="宋体" w:hAnsi="宋体"/>
          <w:sz w:val="24"/>
        </w:rPr>
        <w:t>开户银行：建行六安政务区支行</w:t>
      </w:r>
    </w:p>
    <w:p>
      <w:pPr>
        <w:adjustRightInd w:val="0"/>
        <w:snapToGrid w:val="0"/>
        <w:spacing w:line="500" w:lineRule="exact"/>
        <w:ind w:firstLine="505"/>
        <w:rPr>
          <w:rFonts w:ascii="宋体" w:hAnsi="宋体"/>
          <w:sz w:val="24"/>
        </w:rPr>
      </w:pPr>
      <w:r>
        <w:rPr>
          <w:rFonts w:hint="eastAsia" w:ascii="宋体" w:hAnsi="宋体"/>
          <w:sz w:val="24"/>
        </w:rPr>
        <w:t>账号：</w:t>
      </w:r>
      <w:r>
        <w:rPr>
          <w:rFonts w:ascii="宋体" w:hAnsi="宋体"/>
          <w:sz w:val="24"/>
        </w:rPr>
        <w:t>34001742208050570162</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踏勘现场</w:t>
      </w:r>
    </w:p>
    <w:p>
      <w:pPr>
        <w:adjustRightInd w:val="0"/>
        <w:snapToGrid w:val="0"/>
        <w:spacing w:line="520" w:lineRule="exact"/>
        <w:ind w:firstLine="502"/>
        <w:rPr>
          <w:rFonts w:ascii="宋体" w:hAnsi="宋体"/>
          <w:color w:val="000000"/>
          <w:sz w:val="24"/>
        </w:rPr>
      </w:pPr>
      <w:r>
        <w:rPr>
          <w:rFonts w:hint="eastAsia" w:ascii="宋体" w:hAnsi="宋体"/>
          <w:color w:val="000000"/>
          <w:sz w:val="24"/>
        </w:rPr>
        <w:t>由投标单位自行组织，所产生的费用自理。</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投标疑问和澄清</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12.1投标疑问提出截止时间：5月 </w:t>
      </w:r>
      <w:r>
        <w:rPr>
          <w:rFonts w:hint="eastAsia" w:ascii="宋体" w:hAnsi="宋体"/>
          <w:color w:val="000000"/>
          <w:sz w:val="24"/>
          <w:lang w:val="en-US" w:eastAsia="zh-CN"/>
        </w:rPr>
        <w:t>12</w:t>
      </w:r>
      <w:r>
        <w:rPr>
          <w:rFonts w:ascii="宋体" w:hAnsi="宋体"/>
          <w:color w:val="000000"/>
          <w:sz w:val="24"/>
        </w:rPr>
        <w:t xml:space="preserve"> </w:t>
      </w:r>
      <w:r>
        <w:rPr>
          <w:rFonts w:hint="eastAsia" w:ascii="宋体" w:hAnsi="宋体"/>
          <w:color w:val="000000"/>
          <w:sz w:val="24"/>
        </w:rPr>
        <w:t>日</w:t>
      </w:r>
      <w:r>
        <w:rPr>
          <w:rFonts w:hint="eastAsia" w:ascii="宋体" w:hAnsi="宋体"/>
          <w:color w:val="000000"/>
          <w:sz w:val="24"/>
          <w:lang w:val="en-US" w:eastAsia="zh-CN"/>
        </w:rPr>
        <w:t>15</w:t>
      </w:r>
      <w:r>
        <w:rPr>
          <w:rFonts w:hint="eastAsia" w:ascii="宋体" w:hAnsi="宋体"/>
          <w:color w:val="000000"/>
          <w:sz w:val="24"/>
        </w:rPr>
        <w:t>：00前（北京时间）</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12.2提出的问题方式：电子版一次性提交至</w:t>
      </w:r>
      <w:r>
        <w:rPr>
          <w:rFonts w:ascii="宋体" w:hAnsi="宋体"/>
          <w:color w:val="000000"/>
          <w:sz w:val="24"/>
        </w:rPr>
        <w:t>zyyzwk2020</w:t>
      </w:r>
      <w:r>
        <w:rPr>
          <w:rFonts w:hint="eastAsia" w:ascii="宋体" w:hAnsi="宋体"/>
          <w:color w:val="000000"/>
          <w:sz w:val="24"/>
        </w:rPr>
        <w:t>@126.com</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12.3投标疑问解答时间：招标人将在收到所有澄清文件后，及时对有必要进行答复的问题在与发布</w:t>
      </w:r>
      <w:r>
        <w:rPr>
          <w:rFonts w:hint="eastAsia" w:ascii="宋体" w:hAnsi="宋体"/>
          <w:color w:val="000000"/>
          <w:sz w:val="24"/>
          <w:lang w:eastAsia="zh-CN"/>
        </w:rPr>
        <w:t>招标</w:t>
      </w:r>
      <w:r>
        <w:rPr>
          <w:rFonts w:hint="eastAsia" w:ascii="宋体" w:hAnsi="宋体"/>
          <w:color w:val="000000"/>
          <w:sz w:val="24"/>
        </w:rPr>
        <w:t>公告的同一网站上进行澄清。供应商应及时查询相关澄清回复，不需要确认，但对未及时查询导致的后果由供应商自负。</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投标报价及工程量清单</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13.1供应商应仔细阅读</w:t>
      </w:r>
      <w:r>
        <w:rPr>
          <w:rFonts w:hint="eastAsia" w:ascii="宋体" w:hAnsi="宋体"/>
          <w:color w:val="000000"/>
          <w:sz w:val="24"/>
          <w:lang w:eastAsia="zh-CN"/>
        </w:rPr>
        <w:t>招标</w:t>
      </w:r>
      <w:r>
        <w:rPr>
          <w:rFonts w:hint="eastAsia" w:ascii="宋体" w:hAnsi="宋体"/>
          <w:color w:val="000000"/>
          <w:sz w:val="24"/>
        </w:rPr>
        <w:t>文件，了解拟投标合同段的全部工程内容。供应商的投标价应是</w:t>
      </w:r>
      <w:r>
        <w:rPr>
          <w:rFonts w:hint="eastAsia" w:ascii="宋体" w:hAnsi="宋体"/>
          <w:color w:val="000000"/>
          <w:sz w:val="24"/>
          <w:lang w:eastAsia="zh-CN"/>
        </w:rPr>
        <w:t>招标</w:t>
      </w:r>
      <w:r>
        <w:rPr>
          <w:rFonts w:hint="eastAsia" w:ascii="宋体" w:hAnsi="宋体"/>
          <w:color w:val="000000"/>
          <w:sz w:val="24"/>
        </w:rPr>
        <w:t>文件所确定的</w:t>
      </w:r>
      <w:r>
        <w:rPr>
          <w:rFonts w:hint="eastAsia" w:ascii="宋体" w:hAnsi="宋体"/>
          <w:color w:val="000000"/>
          <w:sz w:val="24"/>
          <w:lang w:eastAsia="zh-CN"/>
        </w:rPr>
        <w:t>招标</w:t>
      </w:r>
      <w:r>
        <w:rPr>
          <w:rFonts w:hint="eastAsia" w:ascii="宋体" w:hAnsi="宋体"/>
          <w:color w:val="000000"/>
          <w:sz w:val="24"/>
        </w:rPr>
        <w:t>范围内全部工程内容的价格体现（项目质量必须达到国家、行业规范、技术要求的全部验收标准，且通过相关部门的验收），但其投标报价不得低于供应商个别成本价。供应商的投标报价，应是在满足</w:t>
      </w:r>
      <w:r>
        <w:rPr>
          <w:rFonts w:hint="eastAsia" w:ascii="宋体" w:hAnsi="宋体"/>
          <w:color w:val="000000"/>
          <w:sz w:val="24"/>
          <w:lang w:eastAsia="zh-CN"/>
        </w:rPr>
        <w:t>招标</w:t>
      </w:r>
      <w:r>
        <w:rPr>
          <w:rFonts w:hint="eastAsia" w:ascii="宋体" w:hAnsi="宋体"/>
          <w:color w:val="000000"/>
          <w:sz w:val="24"/>
        </w:rPr>
        <w:t>文件规定工期、质量要求下，完成本须知</w:t>
      </w:r>
      <w:r>
        <w:rPr>
          <w:rFonts w:hint="eastAsia" w:ascii="宋体" w:hAnsi="宋体"/>
          <w:color w:val="000000"/>
          <w:sz w:val="24"/>
          <w:lang w:eastAsia="zh-CN"/>
        </w:rPr>
        <w:t>招标</w:t>
      </w:r>
      <w:r>
        <w:rPr>
          <w:rFonts w:hint="eastAsia" w:ascii="宋体" w:hAnsi="宋体"/>
          <w:color w:val="000000"/>
          <w:sz w:val="24"/>
        </w:rPr>
        <w:t>文件要求和合同条款上所列招标工程范围的全部工作，不得以任何理由予以重复。</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13.2本工程由供应商依据招标人提供的</w:t>
      </w:r>
      <w:r>
        <w:rPr>
          <w:rFonts w:hint="eastAsia" w:ascii="宋体" w:hAnsi="宋体"/>
          <w:color w:val="000000"/>
          <w:sz w:val="24"/>
          <w:lang w:eastAsia="zh-CN"/>
        </w:rPr>
        <w:t>招标</w:t>
      </w:r>
      <w:r>
        <w:rPr>
          <w:rFonts w:hint="eastAsia" w:ascii="宋体" w:hAnsi="宋体"/>
          <w:color w:val="000000"/>
          <w:sz w:val="24"/>
        </w:rPr>
        <w:t>文件、澄清文件、补充文件、修改纪要中提出的工程技术、质量、工期、承包范围、工器具、设备及材料清单等要求，参照有关定额、费率标准及省、市现行有关规定，并根据当前建设市场行情，结合工程实际情况及本单位的施工方法、设备、材料来源渠道、施工机械装备、施工管理水平等，对投标费用进行分析、测算，实事求是地确定投标报价（不得低于成本价），任何投标优惠都体现在报价内。招标人不要求供应商采用总价优惠或以总价百分比优惠的方式进行投标报价，其优惠应直接体现在各项投标报价的综合单价中。供应商不得以自有机械闲置、自有材料为由等不计成本地进行投标报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13.3本工程的投标报价采用</w:t>
      </w:r>
      <w:r>
        <w:rPr>
          <w:rFonts w:hint="eastAsia" w:ascii="宋体" w:hAnsi="宋体"/>
          <w:b/>
          <w:bCs/>
          <w:color w:val="000000"/>
          <w:sz w:val="24"/>
        </w:rPr>
        <w:t>全费用综合单价，</w:t>
      </w:r>
      <w:r>
        <w:rPr>
          <w:rFonts w:hint="eastAsia" w:ascii="宋体" w:hAnsi="宋体"/>
          <w:color w:val="000000"/>
          <w:sz w:val="24"/>
        </w:rPr>
        <w:t>除</w:t>
      </w:r>
      <w:r>
        <w:rPr>
          <w:rFonts w:hint="eastAsia" w:ascii="宋体" w:hAnsi="宋体"/>
          <w:color w:val="000000"/>
          <w:sz w:val="24"/>
          <w:lang w:eastAsia="zh-CN"/>
        </w:rPr>
        <w:t>招标</w:t>
      </w:r>
      <w:r>
        <w:rPr>
          <w:rFonts w:hint="eastAsia" w:ascii="宋体" w:hAnsi="宋体"/>
          <w:color w:val="000000"/>
          <w:sz w:val="24"/>
        </w:rPr>
        <w:t>文件约定外，在合同履行中不予调整。包括但不限于以下内容，除设计变更之外，合同总价在合同履行期间不因任何因素而调整。</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（1）主要设备、材料价款：为交付至安装现场的落地价（含运输、装车、卸货、税金等，并卸货就位到招标人指定地点），货物包括设备与材料（含损耗）、附件、备品备件、专用工具、技术资料等。</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安装施工费：是指所有设备、材料落地后至交付使用前所发生的，与安装施工相关的人工费、安装辅材及各类损耗、机械费、施工技术措施费、抢工费、规费、税金、管理费、利润、施工现场装卸、现场搬运（含二次搬运）、保管、成品保护、设备的就位吊装、各种调试、自测、自检、验收和施工期间的风险费、政策性文件规定费用等一切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(3)技术服务费：包括方案设计（含深化设计）工作所涉及的一切费用、报审、培训、测试、检测、验收、现场服务（售前、售中、质保期内的售后）及配合服务等相关服务费用。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13.4总承包管理服务费及水电费：</w:t>
      </w:r>
      <w:r>
        <w:rPr>
          <w:rFonts w:hint="eastAsia" w:ascii="宋体" w:hAnsi="宋体"/>
          <w:b/>
          <w:bCs/>
          <w:color w:val="000000"/>
          <w:sz w:val="24"/>
        </w:rPr>
        <w:t>本项目不需要</w:t>
      </w:r>
      <w:r>
        <w:rPr>
          <w:rFonts w:hint="eastAsia" w:ascii="宋体" w:hAnsi="宋体"/>
          <w:color w:val="000000"/>
          <w:sz w:val="24"/>
        </w:rPr>
        <w:t>。</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13.5供应商必须负责招标人项目的全过程有关深化设计（如有）、检测、验收以及一切与本项目有关的对接、协调工作，并承担相应费用，确保通过相关部门的验收，否则不予支付相应工程款，履约担保不予退还。</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13.6本项目施工所需的水、电的接入点由供应商在开标前自行踏勘现场并充分考虑确定，投标报价时须充分考虑此部分费用及风险并含在投标报价中。供应商中标后，招标人不再为此承担任何费用及责任。成交人在开工前将水、电接至施工场地范围内，场内临时管线及装表等其它工作费用也由成交人自行承担。</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13.7本招标工程的施工地点为本须知前附表所述，供应商应自行到施工现场踏勘以充分了解工地位置、情况、道路、储存空间、装卸限制及任何其它足以影响投标报价的情况，任何因忽视或误解施工场地情况而导致的索赔或工期延长申请将不被批准。对于受施工现场场地限制，如需要另外寻找场地解决临时住宿、材料及设备堆放，由此所产生的费用应包含在投标报价范围内，招标人不再承担该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13.8设备、材料供应方式：本工程使用的设备材料，除图纸、</w:t>
      </w:r>
      <w:r>
        <w:rPr>
          <w:rFonts w:hint="eastAsia" w:ascii="宋体" w:hAnsi="宋体"/>
          <w:color w:val="000000"/>
          <w:sz w:val="24"/>
          <w:lang w:eastAsia="zh-CN"/>
        </w:rPr>
        <w:t>招标</w:t>
      </w:r>
      <w:r>
        <w:rPr>
          <w:rFonts w:hint="eastAsia" w:ascii="宋体" w:hAnsi="宋体"/>
          <w:color w:val="000000"/>
          <w:sz w:val="24"/>
        </w:rPr>
        <w:t>文件及补充答疑文件明确注明甲供或甲定乙供外，均由承包方采购供应；且须为合格产品，响应文件中同时需按照规定格式注明材料及设备的名称、品牌、生产厂家（产地）等信息，若响应文件中未注明材料及设备的品牌及产地等信息，则表示供应商已经全部按照同类产品中达到国标优等以上标准的材料和设备报价，除</w:t>
      </w:r>
      <w:r>
        <w:rPr>
          <w:rFonts w:hint="eastAsia" w:ascii="宋体" w:hAnsi="宋体"/>
          <w:color w:val="000000"/>
          <w:sz w:val="24"/>
          <w:lang w:eastAsia="zh-CN"/>
        </w:rPr>
        <w:t>招标</w:t>
      </w:r>
      <w:r>
        <w:rPr>
          <w:rFonts w:hint="eastAsia" w:ascii="宋体" w:hAnsi="宋体"/>
          <w:color w:val="000000"/>
          <w:sz w:val="24"/>
        </w:rPr>
        <w:t>文件约定可调价格的情况外，无论何种情况出现也不调整综合单价；设备材料采购前，其厂家、规格、型号、质量须报招标人、监理单位认可及批准方可采购，同时设备材料进场也须经招标人、监理方认可后方可使用。如果施工单位采购的设备、材料不符合设计图纸、技术规范、标准及招标人的要求，招标人将有权确定设备材料的品牌、厂家、规格、型号、质量标准，并交由施工单位采购，若招标人确定的设备材料品牌及产品的价格超过投标报价中的价格，则按响应文件中的报价进行结算，若招标人确定的设备材料品牌及产品的价格低于投标报价中的价格，则按招标人确定的品牌价格进行结算，供应商一旦投标视为无条件的同意及执行此项条款的要求，且供应商自行承担相应增加的费用。施工过程中违反前述规定的，视为违约，因此影响工期的总工期不顺延，同时由此造成的其他一切损失由供应商自行承担。由供应商自行采购的材料确定投标报价时应充分考虑材料价格上涨等市场风险因素，中标后不作调整，材料费应包括材料运杂费、采保费及试验检验（含鉴定）费等所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13.9本次</w:t>
      </w:r>
      <w:r>
        <w:rPr>
          <w:rFonts w:hint="eastAsia" w:ascii="宋体" w:hAnsi="宋体"/>
          <w:color w:val="000000"/>
          <w:sz w:val="24"/>
          <w:lang w:eastAsia="zh-CN"/>
        </w:rPr>
        <w:t>招标</w:t>
      </w:r>
      <w:r>
        <w:rPr>
          <w:rFonts w:hint="eastAsia" w:ascii="宋体" w:hAnsi="宋体"/>
          <w:color w:val="000000"/>
          <w:sz w:val="24"/>
        </w:rPr>
        <w:t>范围的工程，在工程实施过程中，如出现设计变更增减工程量，或招标人取消或暂缓部分工程，或将招标确定由成交人自行采购材料设备变更为招标人供应，成交人需无条件执行招标人的此类指令，同时也不得以“合同履行后可以获得的利益”为由要求赔偿损失。另成交人承包范围的工程，因成交人原因未能按进度计划组织实施，招标人可另行</w:t>
      </w:r>
      <w:r>
        <w:rPr>
          <w:rFonts w:hint="eastAsia" w:ascii="宋体" w:hAnsi="宋体"/>
          <w:color w:val="000000"/>
          <w:sz w:val="24"/>
          <w:lang w:eastAsia="zh-CN"/>
        </w:rPr>
        <w:t>招标</w:t>
      </w:r>
      <w:r>
        <w:rPr>
          <w:rFonts w:hint="eastAsia" w:ascii="宋体" w:hAnsi="宋体"/>
          <w:color w:val="000000"/>
          <w:sz w:val="24"/>
        </w:rPr>
        <w:t>给第三方施工，且无需向成交人支付任何费用，如另行</w:t>
      </w:r>
      <w:r>
        <w:rPr>
          <w:rFonts w:hint="eastAsia" w:ascii="宋体" w:hAnsi="宋体"/>
          <w:color w:val="000000"/>
          <w:sz w:val="24"/>
          <w:lang w:eastAsia="zh-CN"/>
        </w:rPr>
        <w:t>招标</w:t>
      </w:r>
      <w:r>
        <w:rPr>
          <w:rFonts w:hint="eastAsia" w:ascii="宋体" w:hAnsi="宋体"/>
          <w:color w:val="000000"/>
          <w:sz w:val="24"/>
        </w:rPr>
        <w:t>造成工期延误、造价超过依据成交人的投标报价等其他的损失，全部由成交人承担。招标人提示供应商上述规定对供应商存在的风险和由此而带给供应商的一切损失，请报价时充分考虑。</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13.10供应商的报价不仅应包括</w:t>
      </w:r>
      <w:r>
        <w:rPr>
          <w:rFonts w:hint="eastAsia" w:ascii="宋体" w:hAnsi="宋体"/>
          <w:color w:val="000000"/>
          <w:sz w:val="24"/>
          <w:lang w:eastAsia="zh-CN"/>
        </w:rPr>
        <w:t>招标</w:t>
      </w:r>
      <w:r>
        <w:rPr>
          <w:rFonts w:hint="eastAsia" w:ascii="宋体" w:hAnsi="宋体"/>
          <w:color w:val="000000"/>
          <w:sz w:val="24"/>
        </w:rPr>
        <w:t>文件提供的技术条款和图纸（如有）上标明的，还应包括任何未明确标出的，和全套系统安装后保证正常安全运行所不可缺少的配件及附件的全部费用。供应商应参照招标人提供的工程量清单（设备和材料清单）中的项目、规格、数量进行投标报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13.11本项目</w:t>
      </w:r>
      <w:r>
        <w:rPr>
          <w:rFonts w:hint="eastAsia" w:ascii="宋体" w:hAnsi="宋体"/>
          <w:color w:val="000000"/>
          <w:sz w:val="24"/>
          <w:lang w:eastAsia="zh-CN"/>
        </w:rPr>
        <w:t>招标</w:t>
      </w:r>
      <w:r>
        <w:rPr>
          <w:rFonts w:hint="eastAsia" w:ascii="宋体" w:hAnsi="宋体"/>
          <w:color w:val="000000"/>
          <w:sz w:val="24"/>
        </w:rPr>
        <w:t>文件所附的资料，均为本项目所具备的现有资料，供应商应根据现有资料进行分析、测算和投标，风险由供应商自行承担。本招标工程不保证最低价一定中标。</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13.12供应商应及时报送竣工结算材料，且不得谎报、多报。招标人有权对供应商报价但未进行施工的项目进行核减。    </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13.13投标货币：本工程投标报价采用的币种为人民币。</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13.14不可竞争费用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不可竞争费用包括：</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1）安全文明施工费（见下表）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建筑工程不可竞争费费率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装饰装修工程不可竞争费费率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安装工程不可竞争费费率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市政工程不可竞争费费率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园林绿化工程不可竞争费费率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仿古建筑工程不可竞争费费率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r>
        <w:rPr>
          <w:rFonts w:hint="eastAsia" w:ascii="宋体" w:hAnsi="宋体"/>
          <w:color w:val="000000"/>
          <w:sz w:val="24"/>
        </w:rPr>
        <w:t>税金：按9%执行{分部分项工程项目费+措施项目费+不可竞争费+其他项目费}；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w:t>
      </w:r>
      <w:r>
        <w:rPr>
          <w:rFonts w:hint="eastAsia" w:ascii="宋体" w:hAnsi="宋体"/>
          <w:color w:val="000000"/>
          <w:sz w:val="24"/>
          <w:lang w:eastAsia="zh-CN"/>
        </w:rPr>
        <w:t>招标</w:t>
      </w:r>
      <w:r>
        <w:rPr>
          <w:rFonts w:hint="eastAsia" w:ascii="宋体" w:hAnsi="宋体"/>
          <w:color w:val="000000"/>
          <w:sz w:val="24"/>
        </w:rPr>
        <w:t xml:space="preserve">文件中明确的由招标人自行采购的材料费； </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4）暂列金额、专业工程暂估价；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5）法律法规规章、上级文件等规定的其他不可竞争费用。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可竞争费用包括：</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(1)材料费、机械费用；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(2)综合费；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(3)措施项目费。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投标书份数</w:t>
      </w:r>
    </w:p>
    <w:p>
      <w:pPr>
        <w:adjustRightInd w:val="0"/>
        <w:snapToGrid w:val="0"/>
        <w:spacing w:line="500" w:lineRule="exact"/>
        <w:ind w:firstLine="502"/>
        <w:rPr>
          <w:rFonts w:ascii="宋体" w:hAnsi="宋体"/>
          <w:color w:val="000000"/>
          <w:sz w:val="24"/>
        </w:rPr>
      </w:pPr>
      <w:r>
        <w:rPr>
          <w:rFonts w:hint="eastAsia" w:ascii="宋体" w:hAnsi="宋体"/>
          <w:color w:val="000000"/>
          <w:sz w:val="24"/>
        </w:rPr>
        <w:t>纸质标书正本壹份，副本贰份。</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投标书的密封</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供应商应将纸质响应文件的正本和副本分别密封，并在封袋上注明“正本”或“副本”并加盖供应商公章。电子标书应注明工程名称及供应商名称，并放在纸质标书正本密封袋内。当投标书正本和副本内容不一致时，以正本内容为准，供应商应无异议，否则按否决投标论处。</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投标书送达地点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六安市中医院</w:t>
      </w:r>
      <w:r>
        <w:rPr>
          <w:rFonts w:hint="eastAsia" w:ascii="宋体" w:hAnsi="宋体"/>
          <w:color w:val="000000"/>
          <w:sz w:val="24"/>
          <w:lang w:val="en-US" w:eastAsia="zh-CN"/>
        </w:rPr>
        <w:t>A座</w:t>
      </w:r>
      <w:r>
        <w:rPr>
          <w:rFonts w:hint="eastAsia" w:ascii="宋体" w:hAnsi="宋体"/>
          <w:color w:val="000000"/>
          <w:sz w:val="24"/>
        </w:rPr>
        <w:t>二十楼第一会议室</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投标书递交截止时间</w:t>
      </w:r>
    </w:p>
    <w:p>
      <w:pPr>
        <w:widowControl/>
        <w:spacing w:line="440" w:lineRule="exact"/>
        <w:ind w:firstLine="480" w:firstLineChars="200"/>
        <w:jc w:val="left"/>
        <w:rPr>
          <w:rFonts w:ascii="宋体" w:hAnsi="宋体"/>
          <w:color w:val="000000"/>
          <w:sz w:val="24"/>
        </w:rPr>
      </w:pPr>
      <w:r>
        <w:rPr>
          <w:rFonts w:ascii="宋体" w:hAnsi="宋体"/>
          <w:color w:val="000000"/>
          <w:sz w:val="24"/>
        </w:rPr>
        <w:t>2021</w:t>
      </w:r>
      <w:r>
        <w:rPr>
          <w:rFonts w:hint="eastAsia" w:ascii="宋体" w:hAnsi="宋体"/>
          <w:color w:val="000000"/>
          <w:sz w:val="24"/>
        </w:rPr>
        <w:t>年</w:t>
      </w:r>
      <w:r>
        <w:rPr>
          <w:rFonts w:ascii="宋体" w:hAnsi="宋体"/>
          <w:color w:val="000000"/>
          <w:sz w:val="24"/>
        </w:rPr>
        <w:t>5</w:t>
      </w:r>
      <w:r>
        <w:rPr>
          <w:rFonts w:hint="eastAsia" w:ascii="宋体" w:hAnsi="宋体"/>
          <w:color w:val="000000"/>
          <w:sz w:val="24"/>
        </w:rPr>
        <w:t>月</w:t>
      </w:r>
      <w:r>
        <w:rPr>
          <w:rFonts w:hint="eastAsia" w:ascii="宋体" w:hAnsi="宋体"/>
          <w:color w:val="000000"/>
          <w:sz w:val="24"/>
          <w:lang w:val="en-US" w:eastAsia="zh-CN"/>
        </w:rPr>
        <w:t>12</w:t>
      </w:r>
      <w:r>
        <w:rPr>
          <w:rFonts w:hint="eastAsia" w:ascii="宋体" w:hAnsi="宋体"/>
          <w:color w:val="000000"/>
          <w:sz w:val="24"/>
        </w:rPr>
        <w:t>日</w:t>
      </w:r>
      <w:r>
        <w:rPr>
          <w:rFonts w:hint="eastAsia" w:ascii="宋体" w:hAnsi="宋体"/>
          <w:color w:val="000000"/>
          <w:sz w:val="24"/>
          <w:lang w:val="en-US" w:eastAsia="zh-CN"/>
        </w:rPr>
        <w:t>15</w:t>
      </w:r>
      <w:r>
        <w:rPr>
          <w:rFonts w:hint="eastAsia" w:ascii="宋体" w:hAnsi="宋体"/>
          <w:color w:val="000000"/>
          <w:sz w:val="24"/>
        </w:rPr>
        <w:t>时</w:t>
      </w:r>
      <w:r>
        <w:rPr>
          <w:rFonts w:ascii="宋体" w:hAnsi="宋体"/>
          <w:color w:val="000000"/>
          <w:sz w:val="24"/>
        </w:rPr>
        <w:t>00</w:t>
      </w:r>
      <w:r>
        <w:rPr>
          <w:rFonts w:hint="eastAsia" w:ascii="宋体" w:hAnsi="宋体"/>
          <w:color w:val="000000"/>
          <w:sz w:val="24"/>
        </w:rPr>
        <w:t>分（北京时间）</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迟交的响应文件</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招标人在本须知第17条规定的投标截止时间以后收到的响应文件，将被拒绝并退还给供应商。</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开标</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19.1开标时间：开标时间为</w:t>
      </w:r>
      <w:r>
        <w:rPr>
          <w:rFonts w:ascii="宋体" w:hAnsi="宋体"/>
          <w:color w:val="000000"/>
          <w:sz w:val="24"/>
        </w:rPr>
        <w:t>2021</w:t>
      </w:r>
      <w:r>
        <w:rPr>
          <w:rFonts w:hint="eastAsia" w:ascii="宋体" w:hAnsi="宋体"/>
          <w:color w:val="000000"/>
          <w:sz w:val="24"/>
        </w:rPr>
        <w:t>年</w:t>
      </w:r>
      <w:r>
        <w:rPr>
          <w:rFonts w:ascii="宋体" w:hAnsi="宋体"/>
          <w:color w:val="000000"/>
          <w:sz w:val="24"/>
        </w:rPr>
        <w:t>5</w:t>
      </w:r>
      <w:r>
        <w:rPr>
          <w:rFonts w:hint="eastAsia" w:ascii="宋体" w:hAnsi="宋体"/>
          <w:color w:val="000000"/>
          <w:sz w:val="24"/>
        </w:rPr>
        <w:t>月</w:t>
      </w:r>
      <w:r>
        <w:rPr>
          <w:rFonts w:hint="eastAsia" w:ascii="宋体" w:hAnsi="宋体"/>
          <w:color w:val="000000"/>
          <w:sz w:val="24"/>
          <w:lang w:val="en-US" w:eastAsia="zh-CN"/>
        </w:rPr>
        <w:t>12</w:t>
      </w:r>
      <w:r>
        <w:rPr>
          <w:rFonts w:hint="eastAsia" w:ascii="宋体" w:hAnsi="宋体"/>
          <w:color w:val="000000"/>
          <w:sz w:val="24"/>
        </w:rPr>
        <w:t>日</w:t>
      </w:r>
      <w:r>
        <w:rPr>
          <w:rFonts w:hint="eastAsia" w:ascii="宋体" w:hAnsi="宋体"/>
          <w:color w:val="000000"/>
          <w:sz w:val="24"/>
          <w:lang w:val="en-US" w:eastAsia="zh-CN"/>
        </w:rPr>
        <w:t>15</w:t>
      </w:r>
      <w:r>
        <w:rPr>
          <w:rFonts w:hint="eastAsia" w:ascii="宋体" w:hAnsi="宋体"/>
          <w:color w:val="000000"/>
          <w:sz w:val="24"/>
        </w:rPr>
        <w:t>时</w:t>
      </w:r>
      <w:r>
        <w:rPr>
          <w:rFonts w:ascii="宋体" w:hAnsi="宋体"/>
          <w:color w:val="000000"/>
          <w:sz w:val="24"/>
        </w:rPr>
        <w:t>00</w:t>
      </w:r>
      <w:r>
        <w:rPr>
          <w:rFonts w:hint="eastAsia" w:ascii="宋体" w:hAnsi="宋体"/>
          <w:color w:val="000000"/>
          <w:sz w:val="24"/>
        </w:rPr>
        <w:t>分。</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19.2开标地点：六安市中医院</w:t>
      </w:r>
      <w:r>
        <w:rPr>
          <w:rFonts w:hint="eastAsia" w:ascii="宋体" w:hAnsi="宋体"/>
          <w:color w:val="000000"/>
          <w:sz w:val="24"/>
          <w:lang w:val="en-US" w:eastAsia="zh-CN"/>
        </w:rPr>
        <w:t>A座</w:t>
      </w:r>
      <w:r>
        <w:rPr>
          <w:rFonts w:hint="eastAsia" w:ascii="宋体" w:hAnsi="宋体"/>
          <w:color w:val="000000"/>
          <w:sz w:val="24"/>
        </w:rPr>
        <w:t>二十楼第一会议室</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19.3开标时将邀请所有供应商参加。各投标单位参加开标会议的人数</w:t>
      </w:r>
      <w:r>
        <w:rPr>
          <w:rFonts w:hint="eastAsia" w:ascii="宋体" w:hAnsi="宋体"/>
          <w:b/>
          <w:color w:val="000000"/>
          <w:sz w:val="24"/>
        </w:rPr>
        <w:t>不得超过1人</w:t>
      </w:r>
      <w:r>
        <w:rPr>
          <w:rFonts w:hint="eastAsia" w:ascii="宋体" w:hAnsi="宋体"/>
          <w:color w:val="000000"/>
          <w:sz w:val="24"/>
        </w:rPr>
        <w:t>。到场的投标单位法定代表人应出示身份证，委托代理人应出示授权委托书及身份证。到场各单位代表人员均应签字以示出席，凡未准时出席或要求提交的证件不齐的投标单位，其响应文件不予开封并退还供应商。</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19.4由供应商代表检查响应文件密封情况，供应商对检查结果有异议，应在投标书开封前提出。投标书开封后提出，将视为无效。</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19.5标书经确认密封无误后，由有关工作人员当众拆封并宣读供应商名称、投标价格、投标工期、质量标准等主要标书内容。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19.6若</w:t>
      </w:r>
      <w:r>
        <w:rPr>
          <w:rFonts w:hint="eastAsia" w:ascii="宋体" w:hAnsi="宋体"/>
          <w:color w:val="000000"/>
          <w:sz w:val="24"/>
          <w:lang w:eastAsia="zh-CN"/>
        </w:rPr>
        <w:t>招标</w:t>
      </w:r>
      <w:r>
        <w:rPr>
          <w:rFonts w:hint="eastAsia" w:ascii="宋体" w:hAnsi="宋体"/>
          <w:color w:val="000000"/>
          <w:sz w:val="24"/>
        </w:rPr>
        <w:t>单位宣读投标内容与投标书不符时，供应商有权在开标现场提出异议经当场核查确认后，可重新宣读其投标书。若投标单位在开标现场未提出异议则视为供应商已确认</w:t>
      </w:r>
      <w:r>
        <w:rPr>
          <w:rFonts w:hint="eastAsia" w:ascii="宋体" w:hAnsi="宋体"/>
          <w:color w:val="000000"/>
          <w:sz w:val="24"/>
          <w:lang w:eastAsia="zh-CN"/>
        </w:rPr>
        <w:t>招标</w:t>
      </w:r>
      <w:r>
        <w:rPr>
          <w:rFonts w:hint="eastAsia" w:ascii="宋体" w:hAnsi="宋体"/>
          <w:color w:val="000000"/>
          <w:sz w:val="24"/>
        </w:rPr>
        <w:t>单位宣读的结果。</w:t>
      </w:r>
    </w:p>
    <w:p>
      <w:pPr>
        <w:pStyle w:val="7"/>
        <w:keepNext w:val="0"/>
        <w:keepLines w:val="0"/>
        <w:widowControl w:val="0"/>
        <w:numPr>
          <w:ilvl w:val="0"/>
          <w:numId w:val="2"/>
        </w:numPr>
        <w:adjustRightInd w:val="0"/>
        <w:snapToGrid w:val="0"/>
        <w:spacing w:before="0" w:after="0" w:line="500" w:lineRule="exact"/>
        <w:ind w:left="0" w:firstLine="499"/>
        <w:rPr>
          <w:bCs/>
          <w:color w:val="000000"/>
        </w:rPr>
      </w:pPr>
      <w:r>
        <w:rPr>
          <w:rFonts w:hint="eastAsia"/>
          <w:bCs/>
          <w:color w:val="000000"/>
        </w:rPr>
        <w:t>响应文件的有效性</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.1</w:t>
      </w:r>
      <w:r>
        <w:rPr>
          <w:rFonts w:hint="eastAsia" w:ascii="宋体" w:hAnsi="宋体"/>
          <w:color w:val="000000"/>
          <w:sz w:val="24"/>
        </w:rPr>
        <w:t>开标时，响应文件出现下列情形之一的，应当作为无效响应文件，不得进入评标程序。</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1响应文件未按照本须知第15条的要求装订、密封和标记的；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2响应文件有关内容未按</w:t>
      </w:r>
      <w:r>
        <w:rPr>
          <w:rFonts w:hint="eastAsia" w:ascii="宋体" w:hAnsi="宋体"/>
          <w:color w:val="000000"/>
          <w:sz w:val="24"/>
          <w:lang w:eastAsia="zh-CN"/>
        </w:rPr>
        <w:t>招标</w:t>
      </w:r>
      <w:r>
        <w:rPr>
          <w:rFonts w:hint="eastAsia" w:ascii="宋体" w:hAnsi="宋体"/>
          <w:color w:val="000000"/>
          <w:sz w:val="24"/>
        </w:rPr>
        <w:t>文件要求加盖供应商印章或未经法定代表人签字或盖章的；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3响应文件的关键内容字迹模糊、无法辨认的；</w:t>
      </w:r>
    </w:p>
    <w:p>
      <w:pPr>
        <w:widowControl/>
        <w:spacing w:line="440" w:lineRule="exact"/>
        <w:ind w:firstLine="480" w:firstLineChars="200"/>
        <w:jc w:val="left"/>
        <w:rPr>
          <w:rFonts w:ascii="宋体" w:hAnsi="宋体"/>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4</w:t>
      </w:r>
      <w:r>
        <w:rPr>
          <w:rFonts w:hint="eastAsia" w:ascii="宋体" w:hAnsi="宋体"/>
          <w:sz w:val="24"/>
        </w:rPr>
        <w:t>供应商未按照</w:t>
      </w:r>
      <w:r>
        <w:rPr>
          <w:rFonts w:hint="eastAsia" w:ascii="宋体" w:hAnsi="宋体"/>
          <w:sz w:val="24"/>
          <w:lang w:eastAsia="zh-CN"/>
        </w:rPr>
        <w:t>招标</w:t>
      </w:r>
      <w:r>
        <w:rPr>
          <w:rFonts w:hint="eastAsia" w:ascii="宋体" w:hAnsi="宋体"/>
          <w:sz w:val="24"/>
        </w:rPr>
        <w:t>文件的要求提供响应保证金的；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5自行更改工程量数量或项目特征内容的；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6供应商投标工期超过</w:t>
      </w:r>
      <w:r>
        <w:rPr>
          <w:rFonts w:hint="eastAsia" w:ascii="宋体" w:hAnsi="宋体"/>
          <w:color w:val="000000"/>
          <w:sz w:val="24"/>
          <w:lang w:eastAsia="zh-CN"/>
        </w:rPr>
        <w:t>招标</w:t>
      </w:r>
      <w:r>
        <w:rPr>
          <w:rFonts w:hint="eastAsia" w:ascii="宋体" w:hAnsi="宋体"/>
          <w:color w:val="000000"/>
          <w:sz w:val="24"/>
        </w:rPr>
        <w:t>文件规定工期的；</w:t>
      </w:r>
    </w:p>
    <w:p>
      <w:pPr>
        <w:widowControl/>
        <w:spacing w:line="440" w:lineRule="exact"/>
        <w:ind w:firstLine="480" w:firstLineChars="200"/>
        <w:jc w:val="left"/>
        <w:rPr>
          <w:rFonts w:ascii="宋体" w:hAnsi="宋体"/>
          <w:sz w:val="24"/>
        </w:rPr>
      </w:pPr>
      <w:r>
        <w:rPr>
          <w:rFonts w:hint="eastAsia" w:ascii="宋体" w:hAnsi="宋体"/>
          <w:sz w:val="24"/>
        </w:rPr>
        <w:t>20.1.7未按</w:t>
      </w:r>
      <w:r>
        <w:rPr>
          <w:rFonts w:hint="eastAsia" w:ascii="宋体" w:hAnsi="宋体"/>
          <w:sz w:val="24"/>
          <w:lang w:eastAsia="zh-CN"/>
        </w:rPr>
        <w:t>招标</w:t>
      </w:r>
      <w:r>
        <w:rPr>
          <w:rFonts w:hint="eastAsia" w:ascii="宋体" w:hAnsi="宋体"/>
          <w:sz w:val="24"/>
        </w:rPr>
        <w:t>文件格式提供预算书的。</w:t>
      </w:r>
    </w:p>
    <w:p>
      <w:pPr>
        <w:pStyle w:val="7"/>
        <w:keepNext w:val="0"/>
        <w:keepLines w:val="0"/>
        <w:widowControl w:val="0"/>
        <w:numPr>
          <w:ilvl w:val="0"/>
          <w:numId w:val="2"/>
        </w:numPr>
        <w:adjustRightInd w:val="0"/>
        <w:snapToGrid w:val="0"/>
        <w:spacing w:before="0" w:after="0" w:line="500" w:lineRule="exact"/>
        <w:ind w:left="0" w:firstLine="499"/>
        <w:rPr>
          <w:bCs/>
          <w:color w:val="000000"/>
        </w:rPr>
      </w:pPr>
      <w:bookmarkStart w:id="5" w:name="_Toc137097505"/>
      <w:bookmarkStart w:id="6" w:name="_Toc323815357"/>
      <w:bookmarkStart w:id="7" w:name="_Toc323808541"/>
      <w:bookmarkStart w:id="8" w:name="_Toc368987577"/>
      <w:bookmarkStart w:id="9" w:name="_Toc432968418"/>
      <w:bookmarkStart w:id="10" w:name="_Toc432971920"/>
      <w:bookmarkStart w:id="11" w:name="_Toc443230586"/>
      <w:bookmarkStart w:id="12" w:name="_Toc508803956"/>
      <w:r>
        <w:rPr>
          <w:bCs/>
          <w:color w:val="000000"/>
        </w:rPr>
        <w:t>评标</w:t>
      </w:r>
      <w:bookmarkEnd w:id="5"/>
      <w:bookmarkEnd w:id="6"/>
      <w:bookmarkEnd w:id="7"/>
      <w:bookmarkEnd w:id="8"/>
      <w:bookmarkEnd w:id="9"/>
      <w:bookmarkEnd w:id="10"/>
      <w:bookmarkEnd w:id="11"/>
      <w:bookmarkEnd w:id="12"/>
    </w:p>
    <w:p>
      <w:pPr>
        <w:widowControl/>
        <w:spacing w:line="440" w:lineRule="exact"/>
        <w:ind w:firstLine="480" w:firstLineChars="200"/>
        <w:jc w:val="left"/>
        <w:rPr>
          <w:rFonts w:ascii="宋体" w:hAnsi="宋体"/>
          <w:color w:val="000000"/>
          <w:sz w:val="24"/>
        </w:rPr>
      </w:pPr>
      <w:r>
        <w:rPr>
          <w:rFonts w:ascii="宋体" w:hAnsi="宋体"/>
          <w:color w:val="000000"/>
          <w:sz w:val="24"/>
        </w:rPr>
        <w:t>评审小组按照第三章“评审办法”规定的方法、评审因素、标准和程序对响应文件进行评审。</w:t>
      </w:r>
      <w:r>
        <w:rPr>
          <w:rFonts w:hint="eastAsia" w:ascii="宋体" w:hAnsi="宋体"/>
          <w:color w:val="000000"/>
          <w:sz w:val="24"/>
        </w:rPr>
        <w:t>本</w:t>
      </w:r>
      <w:r>
        <w:rPr>
          <w:rFonts w:hint="eastAsia" w:ascii="宋体" w:hAnsi="宋体"/>
          <w:color w:val="000000"/>
          <w:sz w:val="24"/>
          <w:lang w:eastAsia="zh-CN"/>
        </w:rPr>
        <w:t>招标</w:t>
      </w:r>
      <w:r>
        <w:rPr>
          <w:rFonts w:hint="eastAsia" w:ascii="宋体" w:hAnsi="宋体"/>
          <w:color w:val="000000"/>
          <w:sz w:val="24"/>
        </w:rPr>
        <w:t>文件</w:t>
      </w:r>
      <w:r>
        <w:rPr>
          <w:rFonts w:ascii="宋体" w:hAnsi="宋体"/>
          <w:color w:val="000000"/>
          <w:sz w:val="24"/>
        </w:rPr>
        <w:t>没有规定的方法、评审因素和标准，不作为评标依据。</w:t>
      </w:r>
    </w:p>
    <w:p>
      <w:pPr>
        <w:pStyle w:val="7"/>
        <w:keepNext w:val="0"/>
        <w:keepLines w:val="0"/>
        <w:widowControl w:val="0"/>
        <w:numPr>
          <w:ilvl w:val="0"/>
          <w:numId w:val="2"/>
        </w:numPr>
        <w:adjustRightInd w:val="0"/>
        <w:snapToGrid w:val="0"/>
        <w:spacing w:before="0" w:after="0" w:line="500" w:lineRule="exact"/>
        <w:ind w:left="0" w:firstLine="499"/>
        <w:rPr>
          <w:bCs/>
          <w:color w:val="000000"/>
        </w:rPr>
      </w:pPr>
      <w:bookmarkStart w:id="13" w:name="_Toc137097506"/>
      <w:bookmarkStart w:id="14" w:name="_Toc153421201"/>
      <w:bookmarkStart w:id="15" w:name="_Toc162490415"/>
      <w:bookmarkStart w:id="16" w:name="_Toc272486028"/>
      <w:bookmarkStart w:id="17" w:name="_Toc323808542"/>
      <w:bookmarkStart w:id="18" w:name="_Toc323815358"/>
      <w:bookmarkStart w:id="19" w:name="_Toc368987578"/>
      <w:bookmarkStart w:id="20" w:name="_Toc432968419"/>
      <w:bookmarkStart w:id="21" w:name="_Toc432971921"/>
      <w:bookmarkStart w:id="22" w:name="_Toc443230587"/>
      <w:bookmarkStart w:id="23" w:name="_Toc508803957"/>
      <w:r>
        <w:rPr>
          <w:bCs/>
          <w:color w:val="000000"/>
        </w:rPr>
        <w:t>合同授予</w:t>
      </w:r>
      <w:bookmarkEnd w:id="13"/>
      <w:bookmarkEnd w:id="14"/>
      <w:bookmarkEnd w:id="15"/>
      <w:bookmarkEnd w:id="16"/>
      <w:bookmarkEnd w:id="17"/>
      <w:bookmarkEnd w:id="18"/>
      <w:bookmarkEnd w:id="19"/>
      <w:bookmarkEnd w:id="20"/>
      <w:bookmarkEnd w:id="21"/>
      <w:bookmarkEnd w:id="22"/>
      <w:bookmarkEnd w:id="23"/>
    </w:p>
    <w:p>
      <w:pPr>
        <w:widowControl/>
        <w:spacing w:line="440" w:lineRule="exact"/>
        <w:ind w:firstLine="480" w:firstLineChars="200"/>
        <w:jc w:val="left"/>
        <w:rPr>
          <w:rFonts w:ascii="宋体" w:hAnsi="宋体"/>
          <w:color w:val="000000"/>
          <w:sz w:val="24"/>
        </w:rPr>
      </w:pPr>
      <w:bookmarkStart w:id="24" w:name="_Toc137097507"/>
      <w:bookmarkStart w:id="25" w:name="_Toc323808543"/>
      <w:bookmarkStart w:id="26" w:name="_Toc323815359"/>
      <w:bookmarkStart w:id="27" w:name="_Toc368987579"/>
      <w:bookmarkStart w:id="28" w:name="_Toc432968420"/>
      <w:bookmarkStart w:id="29" w:name="_Toc432971922"/>
      <w:bookmarkStart w:id="30" w:name="_Toc443230588"/>
      <w:bookmarkStart w:id="31" w:name="_Toc508803958"/>
      <w:r>
        <w:rPr>
          <w:rFonts w:ascii="宋体" w:hAnsi="宋体"/>
          <w:color w:val="000000"/>
          <w:sz w:val="24"/>
        </w:rPr>
        <w:t>7.1 定标方式</w:t>
      </w:r>
      <w:bookmarkEnd w:id="24"/>
      <w:bookmarkEnd w:id="25"/>
      <w:bookmarkEnd w:id="26"/>
      <w:bookmarkEnd w:id="27"/>
      <w:bookmarkEnd w:id="28"/>
      <w:bookmarkEnd w:id="29"/>
      <w:bookmarkEnd w:id="30"/>
      <w:bookmarkEnd w:id="31"/>
    </w:p>
    <w:p>
      <w:pPr>
        <w:widowControl/>
        <w:spacing w:line="440" w:lineRule="exact"/>
        <w:ind w:firstLine="480" w:firstLineChars="200"/>
        <w:jc w:val="left"/>
        <w:rPr>
          <w:rFonts w:ascii="宋体" w:hAnsi="宋体"/>
          <w:color w:val="000000"/>
          <w:sz w:val="24"/>
        </w:rPr>
      </w:pPr>
      <w:r>
        <w:rPr>
          <w:rFonts w:ascii="宋体" w:hAnsi="宋体"/>
          <w:color w:val="000000"/>
          <w:sz w:val="24"/>
        </w:rPr>
        <w:t>招标人依据评审小组推荐的成交候选人确定成交人。</w:t>
      </w:r>
    </w:p>
    <w:p>
      <w:pPr>
        <w:widowControl/>
        <w:spacing w:line="440" w:lineRule="exact"/>
        <w:ind w:firstLine="480" w:firstLineChars="200"/>
        <w:jc w:val="left"/>
        <w:rPr>
          <w:rFonts w:ascii="宋体" w:hAnsi="宋体"/>
          <w:color w:val="000000"/>
          <w:sz w:val="24"/>
        </w:rPr>
      </w:pPr>
      <w:bookmarkStart w:id="32" w:name="_Toc137097508"/>
      <w:bookmarkStart w:id="33" w:name="_Toc323808544"/>
      <w:bookmarkStart w:id="34" w:name="_Toc323815360"/>
      <w:bookmarkStart w:id="35" w:name="_Toc368987580"/>
      <w:bookmarkStart w:id="36" w:name="_Toc432968421"/>
      <w:bookmarkStart w:id="37" w:name="_Toc432971923"/>
      <w:bookmarkStart w:id="38" w:name="_Toc443230589"/>
      <w:bookmarkStart w:id="39" w:name="_Toc508803959"/>
      <w:r>
        <w:rPr>
          <w:rFonts w:ascii="宋体" w:hAnsi="宋体"/>
          <w:color w:val="000000"/>
          <w:sz w:val="24"/>
        </w:rPr>
        <w:t>7.2 成交通知</w:t>
      </w:r>
      <w:bookmarkEnd w:id="32"/>
      <w:bookmarkEnd w:id="33"/>
      <w:bookmarkEnd w:id="34"/>
      <w:bookmarkEnd w:id="35"/>
      <w:bookmarkEnd w:id="36"/>
      <w:bookmarkEnd w:id="37"/>
      <w:bookmarkEnd w:id="38"/>
      <w:bookmarkEnd w:id="39"/>
    </w:p>
    <w:p>
      <w:pPr>
        <w:widowControl/>
        <w:spacing w:line="440" w:lineRule="exact"/>
        <w:ind w:firstLine="480" w:firstLineChars="200"/>
        <w:jc w:val="left"/>
        <w:rPr>
          <w:rFonts w:ascii="宋体" w:hAnsi="宋体"/>
          <w:color w:val="000000"/>
          <w:sz w:val="24"/>
        </w:rPr>
      </w:pPr>
      <w:r>
        <w:rPr>
          <w:rFonts w:ascii="宋体" w:hAnsi="宋体"/>
          <w:color w:val="000000"/>
          <w:sz w:val="24"/>
        </w:rPr>
        <w:t>在规定的响应有效期内，招标人以书面形式向成交人发出成交通知书，同时将中标结果通知未中标的供应商。</w:t>
      </w:r>
    </w:p>
    <w:p>
      <w:pPr>
        <w:widowControl/>
        <w:spacing w:line="440" w:lineRule="exact"/>
        <w:ind w:firstLine="480" w:firstLineChars="200"/>
        <w:jc w:val="left"/>
        <w:rPr>
          <w:rFonts w:ascii="宋体" w:hAnsi="宋体"/>
          <w:color w:val="000000"/>
          <w:sz w:val="24"/>
        </w:rPr>
      </w:pPr>
      <w:bookmarkStart w:id="40" w:name="_Toc137097510"/>
      <w:bookmarkStart w:id="41" w:name="_Toc323808546"/>
      <w:bookmarkStart w:id="42" w:name="_Toc323815362"/>
      <w:bookmarkStart w:id="43" w:name="_Toc368987582"/>
      <w:bookmarkStart w:id="44" w:name="_Toc432968423"/>
      <w:bookmarkStart w:id="45" w:name="_Toc432971925"/>
      <w:bookmarkStart w:id="46" w:name="_Toc443230591"/>
      <w:bookmarkStart w:id="47" w:name="_Toc508803961"/>
      <w:r>
        <w:rPr>
          <w:rFonts w:ascii="宋体" w:hAnsi="宋体"/>
          <w:color w:val="000000"/>
          <w:sz w:val="24"/>
        </w:rPr>
        <w:t>7.</w:t>
      </w:r>
      <w:r>
        <w:rPr>
          <w:rFonts w:hint="eastAsia" w:ascii="宋体" w:hAnsi="宋体"/>
          <w:color w:val="000000"/>
          <w:sz w:val="24"/>
        </w:rPr>
        <w:t>3</w:t>
      </w:r>
      <w:r>
        <w:rPr>
          <w:rFonts w:ascii="宋体" w:hAnsi="宋体"/>
          <w:color w:val="000000"/>
          <w:sz w:val="24"/>
        </w:rPr>
        <w:t xml:space="preserve"> 签订合同</w:t>
      </w:r>
      <w:bookmarkEnd w:id="40"/>
      <w:bookmarkEnd w:id="41"/>
      <w:bookmarkEnd w:id="42"/>
      <w:bookmarkEnd w:id="43"/>
      <w:bookmarkEnd w:id="44"/>
      <w:bookmarkEnd w:id="45"/>
      <w:bookmarkEnd w:id="46"/>
      <w:bookmarkEnd w:id="47"/>
    </w:p>
    <w:p>
      <w:pPr>
        <w:widowControl/>
        <w:spacing w:line="440" w:lineRule="exact"/>
        <w:ind w:firstLine="480" w:firstLineChars="200"/>
        <w:jc w:val="left"/>
        <w:rPr>
          <w:rFonts w:ascii="宋体" w:hAnsi="宋体"/>
          <w:color w:val="000000"/>
          <w:sz w:val="24"/>
        </w:rPr>
      </w:pPr>
      <w:r>
        <w:rPr>
          <w:rFonts w:ascii="宋体" w:hAnsi="宋体"/>
          <w:color w:val="000000"/>
          <w:sz w:val="24"/>
        </w:rPr>
        <w:t>7.4.1 招标人和成交人应当自成交通知书发出之日起30 天内，根据</w:t>
      </w:r>
      <w:r>
        <w:rPr>
          <w:rFonts w:hint="eastAsia" w:ascii="宋体" w:hAnsi="宋体"/>
          <w:color w:val="000000"/>
          <w:sz w:val="24"/>
          <w:lang w:eastAsia="zh-CN"/>
        </w:rPr>
        <w:t>招标</w:t>
      </w:r>
      <w:r>
        <w:rPr>
          <w:rFonts w:ascii="宋体" w:hAnsi="宋体"/>
          <w:color w:val="000000"/>
          <w:sz w:val="24"/>
        </w:rPr>
        <w:t>文件和成交人的响应文件订立书面合同。成交人无正当理由拒签合同的，招标人取消其中标资格，</w:t>
      </w:r>
      <w:r>
        <w:rPr>
          <w:rFonts w:ascii="宋体" w:hAnsi="宋体"/>
          <w:sz w:val="24"/>
        </w:rPr>
        <w:t>其响应保证金不予退还；</w:t>
      </w:r>
      <w:r>
        <w:rPr>
          <w:rFonts w:ascii="宋体" w:hAnsi="宋体"/>
          <w:color w:val="000000"/>
          <w:sz w:val="24"/>
        </w:rPr>
        <w:t>给招标人造成的损失超过响应保证金数额的，成交人还应当对超过部分予以赔偿。</w:t>
      </w:r>
    </w:p>
    <w:p>
      <w:pPr>
        <w:widowControl/>
        <w:spacing w:line="440" w:lineRule="exact"/>
        <w:ind w:firstLine="480" w:firstLineChars="200"/>
        <w:jc w:val="left"/>
        <w:rPr>
          <w:rFonts w:ascii="宋体" w:hAnsi="宋体"/>
          <w:color w:val="000000"/>
          <w:sz w:val="24"/>
        </w:rPr>
      </w:pPr>
      <w:bookmarkStart w:id="48" w:name="_Toc137097514"/>
      <w:bookmarkStart w:id="49" w:name="_Toc153421203"/>
      <w:bookmarkStart w:id="50" w:name="_Toc162490417"/>
      <w:bookmarkStart w:id="51" w:name="_Toc272486030"/>
      <w:bookmarkStart w:id="52" w:name="_Toc323808550"/>
      <w:bookmarkStart w:id="53" w:name="_Toc323815366"/>
      <w:bookmarkStart w:id="54" w:name="_Toc368987586"/>
      <w:bookmarkStart w:id="55" w:name="_Toc432968427"/>
      <w:bookmarkStart w:id="56" w:name="_Toc432971929"/>
      <w:bookmarkStart w:id="57" w:name="_Toc443230595"/>
      <w:bookmarkStart w:id="58" w:name="_Toc508803965"/>
      <w:r>
        <w:rPr>
          <w:rFonts w:hint="eastAsia" w:ascii="宋体" w:hAnsi="宋体"/>
          <w:color w:val="000000"/>
          <w:sz w:val="24"/>
        </w:rPr>
        <w:t>8</w:t>
      </w:r>
      <w:r>
        <w:rPr>
          <w:rFonts w:ascii="宋体" w:hAnsi="宋体"/>
          <w:color w:val="000000"/>
          <w:sz w:val="24"/>
        </w:rPr>
        <w:t>．纪律和监督</w:t>
      </w:r>
      <w:bookmarkEnd w:id="48"/>
      <w:bookmarkEnd w:id="49"/>
      <w:bookmarkEnd w:id="50"/>
      <w:bookmarkEnd w:id="51"/>
      <w:bookmarkEnd w:id="52"/>
      <w:bookmarkEnd w:id="53"/>
      <w:bookmarkEnd w:id="54"/>
      <w:bookmarkEnd w:id="55"/>
      <w:bookmarkEnd w:id="56"/>
      <w:bookmarkEnd w:id="57"/>
      <w:bookmarkEnd w:id="58"/>
    </w:p>
    <w:p>
      <w:pPr>
        <w:widowControl/>
        <w:spacing w:line="440" w:lineRule="exact"/>
        <w:ind w:firstLine="480" w:firstLineChars="200"/>
        <w:jc w:val="left"/>
        <w:rPr>
          <w:rFonts w:ascii="宋体" w:hAnsi="宋体"/>
          <w:color w:val="000000"/>
          <w:sz w:val="24"/>
        </w:rPr>
      </w:pPr>
      <w:bookmarkStart w:id="59" w:name="_Toc137097515"/>
      <w:bookmarkStart w:id="60" w:name="_Toc323808551"/>
      <w:bookmarkStart w:id="61" w:name="_Toc323815367"/>
      <w:bookmarkStart w:id="62" w:name="_Toc368987587"/>
      <w:bookmarkStart w:id="63" w:name="_Toc432971930"/>
      <w:bookmarkStart w:id="64" w:name="_Toc443230596"/>
      <w:bookmarkStart w:id="65" w:name="_Toc508803966"/>
      <w:r>
        <w:rPr>
          <w:rFonts w:hint="eastAsia" w:ascii="宋体" w:hAnsi="宋体"/>
          <w:color w:val="000000"/>
          <w:sz w:val="24"/>
        </w:rPr>
        <w:t>8</w:t>
      </w:r>
      <w:r>
        <w:rPr>
          <w:rFonts w:ascii="宋体" w:hAnsi="宋体"/>
          <w:color w:val="000000"/>
          <w:sz w:val="24"/>
        </w:rPr>
        <w:t>.1 对招标人的纪律要求</w:t>
      </w:r>
      <w:bookmarkEnd w:id="59"/>
      <w:bookmarkEnd w:id="60"/>
      <w:bookmarkEnd w:id="61"/>
      <w:bookmarkEnd w:id="62"/>
      <w:bookmarkEnd w:id="63"/>
      <w:bookmarkEnd w:id="64"/>
      <w:bookmarkEnd w:id="65"/>
    </w:p>
    <w:p>
      <w:pPr>
        <w:widowControl/>
        <w:spacing w:line="440" w:lineRule="exact"/>
        <w:ind w:firstLine="480" w:firstLineChars="200"/>
        <w:jc w:val="left"/>
        <w:rPr>
          <w:rFonts w:ascii="宋体" w:hAnsi="宋体"/>
          <w:color w:val="000000"/>
          <w:sz w:val="24"/>
        </w:rPr>
      </w:pPr>
      <w:r>
        <w:rPr>
          <w:rFonts w:ascii="宋体" w:hAnsi="宋体"/>
          <w:color w:val="000000"/>
          <w:sz w:val="24"/>
        </w:rPr>
        <w:t>招标人不得泄漏招标投标活动中应当保密的情况和资料，不得与供应商串通损害国家利益、社会公共利益或者他人合法权益。</w:t>
      </w:r>
    </w:p>
    <w:p>
      <w:pPr>
        <w:widowControl/>
        <w:spacing w:line="440" w:lineRule="exact"/>
        <w:ind w:firstLine="480" w:firstLineChars="200"/>
        <w:jc w:val="left"/>
        <w:rPr>
          <w:rFonts w:ascii="宋体" w:hAnsi="宋体"/>
          <w:color w:val="000000"/>
          <w:sz w:val="24"/>
        </w:rPr>
      </w:pPr>
      <w:bookmarkStart w:id="66" w:name="_Toc137097516"/>
      <w:bookmarkStart w:id="67" w:name="_Toc323808552"/>
      <w:bookmarkStart w:id="68" w:name="_Toc323815368"/>
      <w:bookmarkStart w:id="69" w:name="_Toc368987588"/>
      <w:bookmarkStart w:id="70" w:name="_Toc432971931"/>
      <w:bookmarkStart w:id="71" w:name="_Toc443230597"/>
      <w:bookmarkStart w:id="72" w:name="_Toc508803967"/>
      <w:r>
        <w:rPr>
          <w:rFonts w:hint="eastAsia" w:ascii="宋体" w:hAnsi="宋体"/>
          <w:color w:val="000000"/>
          <w:sz w:val="24"/>
        </w:rPr>
        <w:t>8</w:t>
      </w:r>
      <w:r>
        <w:rPr>
          <w:rFonts w:ascii="宋体" w:hAnsi="宋体"/>
          <w:color w:val="000000"/>
          <w:sz w:val="24"/>
        </w:rPr>
        <w:t>.2 对供应商的纪律要求</w:t>
      </w:r>
      <w:bookmarkEnd w:id="66"/>
      <w:bookmarkEnd w:id="67"/>
      <w:bookmarkEnd w:id="68"/>
      <w:bookmarkEnd w:id="69"/>
      <w:bookmarkEnd w:id="70"/>
      <w:bookmarkEnd w:id="71"/>
      <w:bookmarkEnd w:id="72"/>
    </w:p>
    <w:p>
      <w:pPr>
        <w:widowControl/>
        <w:spacing w:line="440" w:lineRule="exact"/>
        <w:ind w:firstLine="480" w:firstLineChars="200"/>
        <w:jc w:val="left"/>
        <w:rPr>
          <w:rFonts w:ascii="宋体" w:hAnsi="宋体"/>
          <w:color w:val="000000"/>
          <w:sz w:val="24"/>
        </w:rPr>
      </w:pPr>
      <w:r>
        <w:rPr>
          <w:rFonts w:ascii="宋体" w:hAnsi="宋体"/>
          <w:color w:val="000000"/>
          <w:sz w:val="24"/>
        </w:rPr>
        <w:t>供应商不得相互串通投标或者与招标人串通投标，不得向招标人或者评审小组成员行贿谋取中标，不得以他人名义投标或者以其他方式弄虚作假骗取中标；供应商不得以任何方式干扰、影响评标工作。</w:t>
      </w:r>
    </w:p>
    <w:p>
      <w:pPr>
        <w:widowControl/>
        <w:spacing w:line="440" w:lineRule="exact"/>
        <w:ind w:firstLine="480" w:firstLineChars="200"/>
        <w:jc w:val="left"/>
        <w:rPr>
          <w:rFonts w:ascii="宋体" w:hAnsi="宋体"/>
          <w:color w:val="000000"/>
          <w:sz w:val="24"/>
        </w:rPr>
      </w:pPr>
      <w:bookmarkStart w:id="73" w:name="_Toc137097517"/>
      <w:bookmarkStart w:id="74" w:name="_Toc323808553"/>
      <w:bookmarkStart w:id="75" w:name="_Toc323815369"/>
      <w:bookmarkStart w:id="76" w:name="_Toc368987589"/>
      <w:bookmarkStart w:id="77" w:name="_Toc432971932"/>
      <w:bookmarkStart w:id="78" w:name="_Toc443230598"/>
      <w:bookmarkStart w:id="79" w:name="_Toc508803968"/>
      <w:r>
        <w:rPr>
          <w:rFonts w:hint="eastAsia" w:ascii="宋体" w:hAnsi="宋体"/>
          <w:color w:val="000000"/>
          <w:sz w:val="24"/>
        </w:rPr>
        <w:t>8</w:t>
      </w:r>
      <w:r>
        <w:rPr>
          <w:rFonts w:ascii="宋体" w:hAnsi="宋体"/>
          <w:color w:val="000000"/>
          <w:sz w:val="24"/>
        </w:rPr>
        <w:t>.3 对评审小组成员的纪律要求</w:t>
      </w:r>
      <w:bookmarkEnd w:id="73"/>
      <w:bookmarkEnd w:id="74"/>
      <w:bookmarkEnd w:id="75"/>
      <w:bookmarkEnd w:id="76"/>
      <w:bookmarkEnd w:id="77"/>
      <w:bookmarkEnd w:id="78"/>
      <w:bookmarkEnd w:id="79"/>
    </w:p>
    <w:p>
      <w:pPr>
        <w:widowControl/>
        <w:spacing w:line="440" w:lineRule="exact"/>
        <w:ind w:firstLine="480" w:firstLineChars="200"/>
        <w:jc w:val="left"/>
        <w:rPr>
          <w:rFonts w:ascii="宋体" w:hAnsi="宋体"/>
          <w:color w:val="000000"/>
          <w:sz w:val="24"/>
        </w:rPr>
      </w:pPr>
      <w:r>
        <w:rPr>
          <w:rFonts w:ascii="宋体" w:hAnsi="宋体"/>
          <w:color w:val="000000"/>
          <w:sz w:val="24"/>
        </w:rPr>
        <w:t>评审小组成员不得收受他人的财物或者其他好处，不得向他人透漏对响应文件的评审和比较、成交候选人的推荐情况以及评标有关的其他情况。在评标活动中，评审小组成员不得擅离职守，影响评标程序正常进行，不得使用</w:t>
      </w:r>
      <w:r>
        <w:rPr>
          <w:rFonts w:hint="eastAsia" w:ascii="宋体" w:hAnsi="宋体"/>
          <w:color w:val="000000"/>
          <w:sz w:val="24"/>
        </w:rPr>
        <w:t>本</w:t>
      </w:r>
      <w:r>
        <w:rPr>
          <w:rFonts w:hint="eastAsia" w:ascii="宋体" w:hAnsi="宋体"/>
          <w:color w:val="000000"/>
          <w:sz w:val="24"/>
          <w:lang w:eastAsia="zh-CN"/>
        </w:rPr>
        <w:t>招标</w:t>
      </w:r>
      <w:r>
        <w:rPr>
          <w:rFonts w:hint="eastAsia" w:ascii="宋体" w:hAnsi="宋体"/>
          <w:color w:val="000000"/>
          <w:sz w:val="24"/>
        </w:rPr>
        <w:t>文件</w:t>
      </w:r>
      <w:r>
        <w:rPr>
          <w:rFonts w:ascii="宋体" w:hAnsi="宋体"/>
          <w:color w:val="000000"/>
          <w:sz w:val="24"/>
        </w:rPr>
        <w:t>没有规定的评审因素和标准进行评标。</w:t>
      </w:r>
    </w:p>
    <w:p>
      <w:pPr>
        <w:widowControl/>
        <w:spacing w:line="440" w:lineRule="exact"/>
        <w:ind w:firstLine="480" w:firstLineChars="200"/>
        <w:jc w:val="left"/>
        <w:rPr>
          <w:rFonts w:ascii="宋体" w:hAnsi="宋体"/>
          <w:color w:val="000000"/>
          <w:sz w:val="24"/>
        </w:rPr>
      </w:pPr>
      <w:bookmarkStart w:id="80" w:name="_Toc137097518"/>
      <w:bookmarkStart w:id="81" w:name="_Toc323808554"/>
      <w:bookmarkStart w:id="82" w:name="_Toc323815370"/>
      <w:bookmarkStart w:id="83" w:name="_Toc368987590"/>
      <w:bookmarkStart w:id="84" w:name="_Toc432971933"/>
      <w:bookmarkStart w:id="85" w:name="_Toc443230599"/>
      <w:bookmarkStart w:id="86" w:name="_Toc508803969"/>
      <w:r>
        <w:rPr>
          <w:rFonts w:hint="eastAsia" w:ascii="宋体" w:hAnsi="宋体"/>
          <w:color w:val="000000"/>
          <w:sz w:val="24"/>
        </w:rPr>
        <w:t>8</w:t>
      </w:r>
      <w:r>
        <w:rPr>
          <w:rFonts w:ascii="宋体" w:hAnsi="宋体"/>
          <w:color w:val="000000"/>
          <w:sz w:val="24"/>
        </w:rPr>
        <w:t>.4 对与评标活动有关的工作人员的纪律要求</w:t>
      </w:r>
      <w:bookmarkEnd w:id="80"/>
      <w:bookmarkEnd w:id="81"/>
      <w:bookmarkEnd w:id="82"/>
      <w:bookmarkEnd w:id="83"/>
      <w:bookmarkEnd w:id="84"/>
      <w:bookmarkEnd w:id="85"/>
      <w:bookmarkEnd w:id="86"/>
    </w:p>
    <w:p>
      <w:pPr>
        <w:widowControl/>
        <w:spacing w:line="440" w:lineRule="exact"/>
        <w:ind w:firstLine="480" w:firstLineChars="200"/>
        <w:jc w:val="left"/>
        <w:rPr>
          <w:rFonts w:ascii="宋体" w:hAnsi="宋体"/>
          <w:color w:val="000000"/>
          <w:sz w:val="24"/>
        </w:rPr>
      </w:pPr>
      <w:r>
        <w:rPr>
          <w:rFonts w:ascii="宋体" w:hAnsi="宋体"/>
          <w:color w:val="000000"/>
          <w:sz w:val="24"/>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p>
    <w:p>
      <w:pPr>
        <w:adjustRightInd w:val="0"/>
        <w:snapToGrid w:val="0"/>
        <w:spacing w:line="520" w:lineRule="exact"/>
        <w:ind w:firstLine="502"/>
        <w:rPr>
          <w:rStyle w:val="51"/>
          <w:rFonts w:ascii="宋体" w:hAnsi="宋体"/>
          <w:color w:val="000000"/>
        </w:rPr>
      </w:pPr>
    </w:p>
    <w:p>
      <w:pPr>
        <w:rPr>
          <w:rFonts w:ascii="宋体" w:hAnsi="宋体"/>
          <w:color w:val="000000"/>
          <w:sz w:val="32"/>
          <w:szCs w:val="32"/>
        </w:rPr>
      </w:pPr>
    </w:p>
    <w:p>
      <w:pPr>
        <w:rPr>
          <w:rFonts w:ascii="宋体" w:hAnsi="宋体"/>
          <w:color w:val="000000"/>
          <w:sz w:val="32"/>
          <w:szCs w:val="32"/>
        </w:rPr>
      </w:pPr>
    </w:p>
    <w:p>
      <w:pPr>
        <w:pStyle w:val="2"/>
        <w:rPr>
          <w:rFonts w:ascii="宋体" w:hAnsi="宋体" w:eastAsia="宋体"/>
          <w:color w:val="000000"/>
          <w:sz w:val="48"/>
          <w:szCs w:val="18"/>
        </w:rPr>
      </w:pPr>
      <w:r>
        <w:rPr>
          <w:rFonts w:ascii="宋体" w:hAnsi="宋体" w:eastAsia="宋体"/>
          <w:color w:val="000000"/>
          <w:sz w:val="32"/>
          <w:szCs w:val="32"/>
        </w:rPr>
        <w:br w:type="page"/>
      </w:r>
      <w:bookmarkStart w:id="87" w:name="_Toc16324"/>
      <w:bookmarkStart w:id="88" w:name="_Toc21908"/>
      <w:bookmarkStart w:id="89" w:name="OLE_LINK3"/>
      <w:r>
        <w:rPr>
          <w:rFonts w:hint="eastAsia" w:ascii="宋体" w:hAnsi="宋体" w:eastAsia="宋体"/>
          <w:color w:val="000000"/>
          <w:sz w:val="48"/>
          <w:szCs w:val="18"/>
        </w:rPr>
        <w:t>二、评审办法</w:t>
      </w:r>
    </w:p>
    <w:p/>
    <w:p>
      <w:pPr>
        <w:keepNext/>
        <w:widowControl/>
        <w:numPr>
          <w:ilvl w:val="0"/>
          <w:numId w:val="1"/>
        </w:numPr>
        <w:jc w:val="center"/>
        <w:outlineLvl w:val="0"/>
        <w:rPr>
          <w:rFonts w:ascii="宋体" w:hAnsi="宋体"/>
          <w:color w:val="000000"/>
          <w:kern w:val="0"/>
          <w:sz w:val="44"/>
          <w:szCs w:val="16"/>
        </w:rPr>
      </w:pPr>
      <w:r>
        <w:rPr>
          <w:rFonts w:hint="eastAsia" w:ascii="宋体" w:hAnsi="宋体"/>
          <w:color w:val="000000"/>
          <w:kern w:val="0"/>
          <w:sz w:val="44"/>
          <w:szCs w:val="16"/>
        </w:rPr>
        <w:t>（多次报价后执行有效最低价合格制评审法且开标当天不宣布中标结果，潜在投标供应商如不认可本评审办法可拒绝投标。）</w:t>
      </w:r>
    </w:p>
    <w:p>
      <w:pPr>
        <w:jc w:val="center"/>
        <w:rPr>
          <w:rFonts w:ascii="宋体" w:hAnsi="宋体" w:cs="仿宋_GB2312"/>
          <w:b/>
          <w:color w:val="000000"/>
          <w:kern w:val="0"/>
          <w:sz w:val="24"/>
        </w:rPr>
      </w:pPr>
      <w:bookmarkStart w:id="90" w:name="OLE_LINK10"/>
    </w:p>
    <w:bookmarkEnd w:id="90"/>
    <w:p>
      <w:pPr>
        <w:keepNext/>
        <w:keepLines/>
        <w:spacing w:before="260" w:after="260" w:line="415" w:lineRule="auto"/>
        <w:jc w:val="center"/>
        <w:outlineLvl w:val="1"/>
        <w:rPr>
          <w:rFonts w:ascii="宋体" w:hAnsi="宋体"/>
          <w:b/>
          <w:bCs/>
          <w:color w:val="000000"/>
          <w:sz w:val="32"/>
          <w:szCs w:val="32"/>
        </w:rPr>
      </w:pPr>
      <w:bookmarkStart w:id="91" w:name="_Toc439064240"/>
      <w:bookmarkStart w:id="92" w:name="_Toc532910212"/>
      <w:bookmarkStart w:id="93" w:name="_Toc532910491"/>
      <w:r>
        <w:rPr>
          <w:rFonts w:hint="eastAsia" w:ascii="宋体" w:hAnsi="宋体"/>
          <w:b/>
          <w:bCs/>
          <w:color w:val="000000"/>
          <w:sz w:val="32"/>
          <w:szCs w:val="32"/>
        </w:rPr>
        <w:t>评标办法前附表</w:t>
      </w:r>
      <w:bookmarkEnd w:id="91"/>
      <w:bookmarkEnd w:id="92"/>
      <w:bookmarkEnd w:id="93"/>
    </w:p>
    <w:p>
      <w:pPr>
        <w:keepNext/>
        <w:keepLines/>
        <w:numPr>
          <w:ilvl w:val="0"/>
          <w:numId w:val="3"/>
        </w:numPr>
        <w:spacing w:before="240" w:after="240" w:line="415" w:lineRule="auto"/>
        <w:jc w:val="center"/>
        <w:outlineLvl w:val="1"/>
        <w:rPr>
          <w:rFonts w:ascii="宋体" w:hAnsi="宋体"/>
          <w:b/>
          <w:bCs/>
          <w:color w:val="000000"/>
          <w:sz w:val="28"/>
          <w:szCs w:val="28"/>
        </w:rPr>
      </w:pPr>
      <w:r>
        <w:rPr>
          <w:rFonts w:ascii="宋体" w:hAnsi="宋体"/>
          <w:color w:val="000000"/>
        </w:rPr>
        <w:br w:type="page"/>
      </w:r>
      <w:bookmarkEnd w:id="87"/>
      <w:bookmarkEnd w:id="88"/>
      <w:bookmarkEnd w:id="89"/>
      <w:bookmarkStart w:id="94" w:name="_Toc439064241"/>
      <w:bookmarkStart w:id="95" w:name="_Toc532910213"/>
      <w:bookmarkStart w:id="96" w:name="_Toc532910492"/>
      <w:r>
        <w:rPr>
          <w:rFonts w:hint="eastAsia" w:ascii="宋体" w:hAnsi="宋体"/>
          <w:b/>
          <w:bCs/>
          <w:color w:val="000000"/>
          <w:sz w:val="28"/>
          <w:szCs w:val="28"/>
        </w:rPr>
        <w:t>资格审查标准</w:t>
      </w:r>
      <w:bookmarkEnd w:id="94"/>
      <w:bookmarkEnd w:id="95"/>
      <w:bookmarkEnd w:id="96"/>
    </w:p>
    <w:tbl>
      <w:tblPr>
        <w:tblStyle w:val="48"/>
        <w:tblW w:w="5213" w:type="pct"/>
        <w:tblInd w:w="-276"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775"/>
        <w:gridCol w:w="2028"/>
        <w:gridCol w:w="6672"/>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409"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1070" w:type="pct"/>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评审因素</w:t>
            </w:r>
          </w:p>
        </w:tc>
        <w:tc>
          <w:tcPr>
            <w:tcW w:w="3521" w:type="pct"/>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8" w:hRule="atLeast"/>
        </w:trPr>
        <w:tc>
          <w:tcPr>
            <w:tcW w:w="409" w:type="pct"/>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Cs w:val="21"/>
              </w:rPr>
            </w:pPr>
            <w:r>
              <w:rPr>
                <w:rFonts w:hint="eastAsia"/>
                <w:b/>
                <w:bCs/>
                <w:color w:val="000000"/>
                <w:kern w:val="0"/>
                <w:szCs w:val="21"/>
              </w:rPr>
              <w:t>3.1</w:t>
            </w:r>
          </w:p>
        </w:tc>
        <w:tc>
          <w:tcPr>
            <w:tcW w:w="1070" w:type="pct"/>
            <w:tcBorders>
              <w:top w:val="single" w:color="auto" w:sz="4" w:space="0"/>
              <w:left w:val="single" w:color="auto" w:sz="4" w:space="0"/>
              <w:bottom w:val="single" w:color="auto" w:sz="4" w:space="0"/>
              <w:right w:val="outset" w:color="auto" w:sz="6" w:space="0"/>
            </w:tcBorders>
            <w:vAlign w:val="center"/>
          </w:tcPr>
          <w:p>
            <w:pPr>
              <w:widowControl/>
              <w:jc w:val="center"/>
              <w:rPr>
                <w:b/>
                <w:bCs/>
                <w:color w:val="000000"/>
                <w:kern w:val="0"/>
                <w:szCs w:val="21"/>
              </w:rPr>
            </w:pPr>
            <w:r>
              <w:rPr>
                <w:b/>
                <w:bCs/>
                <w:color w:val="000000"/>
                <w:kern w:val="0"/>
                <w:szCs w:val="21"/>
              </w:rPr>
              <w:t>资格审查</w:t>
            </w:r>
          </w:p>
          <w:p>
            <w:pPr>
              <w:widowControl/>
              <w:jc w:val="center"/>
              <w:rPr>
                <w:color w:val="000000"/>
                <w:kern w:val="0"/>
                <w:szCs w:val="21"/>
              </w:rPr>
            </w:pPr>
            <w:r>
              <w:rPr>
                <w:b/>
                <w:bCs/>
                <w:color w:val="000000"/>
                <w:kern w:val="0"/>
                <w:szCs w:val="21"/>
              </w:rPr>
              <w:t>评审标准</w:t>
            </w:r>
          </w:p>
        </w:tc>
        <w:tc>
          <w:tcPr>
            <w:tcW w:w="3521" w:type="pct"/>
            <w:tcBorders>
              <w:top w:val="outset" w:color="auto" w:sz="6" w:space="0"/>
              <w:left w:val="outset" w:color="auto" w:sz="6" w:space="0"/>
              <w:bottom w:val="outset" w:color="auto" w:sz="6" w:space="0"/>
              <w:right w:val="outset" w:color="auto" w:sz="6" w:space="0"/>
            </w:tcBorders>
            <w:tcMar>
              <w:left w:w="75" w:type="dxa"/>
            </w:tcMar>
            <w:vAlign w:val="center"/>
          </w:tcPr>
          <w:p>
            <w:pPr>
              <w:jc w:val="left"/>
              <w:rPr>
                <w:color w:val="000000"/>
                <w:kern w:val="0"/>
                <w:szCs w:val="21"/>
              </w:rPr>
            </w:pPr>
            <w:r>
              <w:rPr>
                <w:rFonts w:hint="eastAsia"/>
                <w:color w:val="000000"/>
                <w:kern w:val="0"/>
                <w:szCs w:val="21"/>
              </w:rPr>
              <w:t>见</w:t>
            </w:r>
            <w:r>
              <w:rPr>
                <w:rFonts w:hint="eastAsia"/>
                <w:color w:val="000000"/>
                <w:kern w:val="0"/>
                <w:szCs w:val="21"/>
                <w:lang w:eastAsia="zh-CN"/>
              </w:rPr>
              <w:t>招标</w:t>
            </w:r>
            <w:r>
              <w:rPr>
                <w:rFonts w:hint="eastAsia"/>
                <w:color w:val="000000"/>
                <w:kern w:val="0"/>
                <w:szCs w:val="21"/>
              </w:rPr>
              <w:t>公告“五、供应商资格条件”相关内容。</w:t>
            </w:r>
          </w:p>
        </w:tc>
      </w:tr>
    </w:tbl>
    <w:p>
      <w:pPr>
        <w:tabs>
          <w:tab w:val="left" w:pos="945"/>
        </w:tabs>
        <w:snapToGrid w:val="0"/>
        <w:spacing w:line="360" w:lineRule="auto"/>
        <w:rPr>
          <w:rFonts w:ascii="宋体" w:hAnsi="宋体"/>
          <w:b/>
          <w:color w:val="000000"/>
          <w:szCs w:val="21"/>
        </w:rPr>
      </w:pPr>
      <w:r>
        <w:rPr>
          <w:rFonts w:hint="eastAsia" w:ascii="宋体" w:hAnsi="宋体"/>
          <w:b/>
          <w:color w:val="000000"/>
          <w:szCs w:val="21"/>
        </w:rPr>
        <w:t>注 ：</w:t>
      </w:r>
    </w:p>
    <w:p>
      <w:pPr>
        <w:tabs>
          <w:tab w:val="left" w:pos="0"/>
        </w:tabs>
        <w:snapToGrid w:val="0"/>
        <w:spacing w:line="360" w:lineRule="auto"/>
        <w:rPr>
          <w:rFonts w:ascii="宋体" w:hAnsi="宋体"/>
          <w:color w:val="000000"/>
          <w:szCs w:val="21"/>
        </w:rPr>
      </w:pPr>
      <w:r>
        <w:rPr>
          <w:rFonts w:hint="eastAsia" w:ascii="宋体" w:hAnsi="宋体"/>
          <w:color w:val="000000"/>
          <w:szCs w:val="21"/>
        </w:rPr>
        <w:t>1、以上所有内容必须全部通过方为合格。</w:t>
      </w:r>
    </w:p>
    <w:p>
      <w:pPr>
        <w:tabs>
          <w:tab w:val="left" w:pos="0"/>
        </w:tabs>
        <w:snapToGrid w:val="0"/>
        <w:spacing w:line="360" w:lineRule="auto"/>
        <w:rPr>
          <w:rFonts w:ascii="宋体" w:hAnsi="宋体"/>
          <w:color w:val="000000"/>
          <w:szCs w:val="21"/>
        </w:rPr>
      </w:pPr>
      <w:r>
        <w:rPr>
          <w:rFonts w:hint="eastAsia" w:ascii="宋体" w:hAnsi="宋体"/>
          <w:color w:val="000000"/>
          <w:szCs w:val="21"/>
        </w:rPr>
        <w:t>2、以上评审内容（除信用要求外）均应在投标文件中体现（指附有复印件或扫描件或影印件等），未体现的视为资格审查不通过。</w:t>
      </w:r>
    </w:p>
    <w:p>
      <w:pPr>
        <w:tabs>
          <w:tab w:val="left" w:pos="0"/>
        </w:tabs>
        <w:snapToGrid w:val="0"/>
        <w:spacing w:line="360" w:lineRule="auto"/>
        <w:rPr>
          <w:rFonts w:ascii="宋体" w:hAnsi="宋体"/>
          <w:color w:val="000000"/>
          <w:szCs w:val="21"/>
        </w:rPr>
      </w:pPr>
      <w:r>
        <w:rPr>
          <w:rFonts w:hint="eastAsia" w:ascii="宋体" w:hAnsi="宋体"/>
          <w:color w:val="000000"/>
          <w:szCs w:val="21"/>
        </w:rPr>
        <w:t>3、供应商提供的与投标有关的各类证书、证明、文件、资料等（含主体信息库上传资料）的真实性、合法性由供应商负全责。如发现供应商有弄虚作假或提供不实信息以骗取中标的行为，无论在投标有效期内还是在工程实施过程中，一经发现，将被取消其中标资格或终止合同，视为企业不诚信行为。</w:t>
      </w:r>
    </w:p>
    <w:p>
      <w:pPr>
        <w:keepNext/>
        <w:keepLines/>
        <w:numPr>
          <w:ilvl w:val="0"/>
          <w:numId w:val="3"/>
        </w:numPr>
        <w:spacing w:before="240" w:after="240" w:line="415" w:lineRule="auto"/>
        <w:jc w:val="center"/>
        <w:outlineLvl w:val="1"/>
        <w:rPr>
          <w:rFonts w:ascii="宋体" w:hAnsi="宋体"/>
          <w:b/>
          <w:bCs/>
          <w:color w:val="000000"/>
          <w:sz w:val="28"/>
          <w:szCs w:val="28"/>
        </w:rPr>
      </w:pPr>
      <w:bookmarkStart w:id="97" w:name="_Toc439064242"/>
      <w:bookmarkStart w:id="98" w:name="_Toc532910214"/>
      <w:bookmarkStart w:id="99" w:name="_Toc532910493"/>
      <w:r>
        <w:rPr>
          <w:rFonts w:hint="eastAsia" w:ascii="宋体" w:hAnsi="宋体"/>
          <w:b/>
          <w:bCs/>
          <w:color w:val="000000"/>
          <w:sz w:val="28"/>
          <w:szCs w:val="28"/>
        </w:rPr>
        <w:t>商务标评审标准</w:t>
      </w:r>
      <w:bookmarkEnd w:id="97"/>
      <w:bookmarkEnd w:id="98"/>
      <w:bookmarkEnd w:id="99"/>
    </w:p>
    <w:tbl>
      <w:tblPr>
        <w:tblStyle w:val="48"/>
        <w:tblW w:w="5000"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648"/>
        <w:gridCol w:w="420"/>
        <w:gridCol w:w="931"/>
        <w:gridCol w:w="7089"/>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0" w:type="auto"/>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0" w:type="auto"/>
            <w:gridSpan w:val="2"/>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评审因素</w:t>
            </w:r>
          </w:p>
        </w:tc>
        <w:tc>
          <w:tcPr>
            <w:tcW w:w="0" w:type="auto"/>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评分方法</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b/>
                <w:bCs/>
                <w:color w:val="000000"/>
                <w:kern w:val="0"/>
                <w:szCs w:val="21"/>
              </w:rPr>
            </w:pPr>
            <w:r>
              <w:rPr>
                <w:b/>
                <w:bCs/>
                <w:color w:val="000000"/>
                <w:kern w:val="0"/>
                <w:szCs w:val="21"/>
              </w:rPr>
              <w:t>3.1</w:t>
            </w:r>
          </w:p>
          <w:p>
            <w:pPr>
              <w:widowControl/>
              <w:jc w:val="center"/>
              <w:rPr>
                <w:b/>
                <w:bCs/>
                <w:color w:val="000000"/>
                <w:kern w:val="0"/>
                <w:szCs w:val="21"/>
              </w:rPr>
            </w:pPr>
            <w:r>
              <w:rPr>
                <w:rFonts w:hint="eastAsia"/>
                <w:b/>
                <w:bCs/>
                <w:color w:val="000000"/>
                <w:kern w:val="0"/>
                <w:szCs w:val="21"/>
              </w:rPr>
              <w:t>3.2</w:t>
            </w:r>
          </w:p>
          <w:p>
            <w:pPr>
              <w:widowControl/>
              <w:jc w:val="center"/>
              <w:rPr>
                <w:color w:val="000000"/>
                <w:kern w:val="0"/>
                <w:szCs w:val="21"/>
              </w:rPr>
            </w:pPr>
            <w:r>
              <w:rPr>
                <w:b/>
                <w:bCs/>
                <w:color w:val="000000"/>
                <w:kern w:val="0"/>
                <w:szCs w:val="21"/>
              </w:rPr>
              <w:t>3.6</w:t>
            </w:r>
          </w:p>
        </w:tc>
        <w:tc>
          <w:tcPr>
            <w:tcW w:w="420"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商务标初评</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rFonts w:ascii="宋体" w:hAnsi="宋体"/>
                <w:color w:val="000000"/>
              </w:rPr>
              <w:t>围串标等行为</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清标结果显示不同供应商的投标文件异常一致或者投标报价呈规律性差异等招投标相关法律法规明确规定为串通投标或弄虚作假或有其他违法行为的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格式</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s="宋体"/>
                <w:color w:val="000000"/>
                <w:kern w:val="0"/>
                <w:szCs w:val="21"/>
              </w:rPr>
              <w:t>①</w:t>
            </w:r>
            <w:r>
              <w:rPr>
                <w:color w:val="000000"/>
                <w:kern w:val="0"/>
                <w:szCs w:val="21"/>
              </w:rPr>
              <w:t xml:space="preserve">电子清单计价文件无法读取或不符合规定格式的； </w:t>
            </w:r>
          </w:p>
          <w:p>
            <w:pPr>
              <w:widowControl/>
              <w:jc w:val="left"/>
              <w:rPr>
                <w:color w:val="000000"/>
                <w:kern w:val="0"/>
                <w:szCs w:val="21"/>
              </w:rPr>
            </w:pPr>
            <w:r>
              <w:rPr>
                <w:rFonts w:hint="eastAsia" w:ascii="宋体" w:hAnsi="宋体" w:cs="宋体"/>
                <w:color w:val="000000"/>
                <w:kern w:val="0"/>
                <w:szCs w:val="21"/>
              </w:rPr>
              <w:t>②</w:t>
            </w:r>
            <w:r>
              <w:rPr>
                <w:color w:val="000000"/>
                <w:kern w:val="0"/>
                <w:szCs w:val="21"/>
              </w:rPr>
              <w:t>未按投标文件格式在规定部位盖章或签章或签字的，实质性内容不全或关键字迹模糊、无法辨认的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63"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工期、质量等实质性要求</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ascii="宋体" w:hAnsi="宋体"/>
                <w:color w:val="000000"/>
              </w:rPr>
              <w:t>投标函及附件中投标报价、工期、质量标准或其它实质性要求不能满足招标文件要求,或作出的承诺与招标文件中提供的投标函及附件样本中相关内容相抵触或有遗漏的。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9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清单</w:t>
            </w:r>
            <w:r>
              <w:rPr>
                <w:rFonts w:hint="eastAsia"/>
                <w:color w:val="000000"/>
                <w:kern w:val="0"/>
                <w:szCs w:val="21"/>
              </w:rPr>
              <w:t xml:space="preserve">   </w:t>
            </w:r>
            <w:r>
              <w:rPr>
                <w:color w:val="000000"/>
                <w:kern w:val="0"/>
                <w:szCs w:val="21"/>
              </w:rPr>
              <w:t>符合性</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当投标文件中填报的工程量清单报价书中的分项、分部工程项目名称、内容或计量单位及工程量与招标人提供的工程量清单实质性不一致，以致影响评标结果的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7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不可竞争费</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olor w:val="000000"/>
                <w:kern w:val="0"/>
                <w:szCs w:val="21"/>
              </w:rPr>
              <w:t>①</w:t>
            </w:r>
            <w:r>
              <w:rPr>
                <w:rFonts w:hint="eastAsia"/>
                <w:color w:val="000000"/>
                <w:kern w:val="0"/>
                <w:szCs w:val="21"/>
              </w:rPr>
              <w:t>不可竞争费计算基数及取费费率低于招标文件规定的；</w:t>
            </w:r>
          </w:p>
          <w:p>
            <w:pPr>
              <w:widowControl/>
              <w:jc w:val="left"/>
              <w:rPr>
                <w:color w:val="000000"/>
                <w:kern w:val="0"/>
                <w:szCs w:val="21"/>
              </w:rPr>
            </w:pPr>
            <w:r>
              <w:rPr>
                <w:rFonts w:hint="eastAsia"/>
                <w:color w:val="000000"/>
                <w:kern w:val="0"/>
                <w:szCs w:val="21"/>
              </w:rPr>
              <w:t>②供应商工费工日单价低于招标文件规定的；</w:t>
            </w:r>
          </w:p>
          <w:p>
            <w:pPr>
              <w:widowControl/>
              <w:jc w:val="left"/>
              <w:rPr>
                <w:color w:val="000000"/>
                <w:kern w:val="0"/>
                <w:szCs w:val="21"/>
              </w:rPr>
            </w:pPr>
            <w:r>
              <w:rPr>
                <w:rFonts w:hint="eastAsia"/>
                <w:color w:val="000000"/>
                <w:kern w:val="0"/>
                <w:szCs w:val="21"/>
              </w:rPr>
              <w:t>③投标报价中更改暂列金额、专业工程暂估价的；</w:t>
            </w:r>
          </w:p>
          <w:p>
            <w:pPr>
              <w:widowControl/>
              <w:jc w:val="left"/>
              <w:rPr>
                <w:color w:val="000000"/>
                <w:kern w:val="0"/>
                <w:szCs w:val="21"/>
              </w:rPr>
            </w:pPr>
            <w:r>
              <w:rPr>
                <w:rFonts w:hint="eastAsia"/>
                <w:color w:val="000000"/>
                <w:kern w:val="0"/>
                <w:szCs w:val="21"/>
              </w:rPr>
              <w:t>④供应商税金税率低于招标文件规定的；</w:t>
            </w:r>
          </w:p>
          <w:p>
            <w:pPr>
              <w:widowControl/>
              <w:jc w:val="left"/>
              <w:rPr>
                <w:color w:val="000000"/>
                <w:kern w:val="0"/>
                <w:szCs w:val="21"/>
              </w:rPr>
            </w:pPr>
            <w:r>
              <w:rPr>
                <w:rFonts w:hint="eastAsia"/>
                <w:color w:val="000000"/>
                <w:kern w:val="0"/>
                <w:szCs w:val="21"/>
              </w:rPr>
              <w:t>⑤投标报价不符合法规规章、上级文件规定的其他不可竞争费用要求的。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报价</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rFonts w:ascii="宋体" w:hAnsi="宋体"/>
                <w:color w:val="000000"/>
                <w:kern w:val="0"/>
                <w:szCs w:val="21"/>
              </w:rPr>
            </w:pPr>
            <w:r>
              <w:rPr>
                <w:rFonts w:ascii="宋体" w:hAnsi="宋体"/>
                <w:color w:val="000000"/>
                <w:kern w:val="0"/>
                <w:szCs w:val="21"/>
              </w:rPr>
              <w:t xml:space="preserve">①供应商递交两份或多份内容不同的投标文件，或在一份投标文件中对同一招标项目报有两个或多个报价，且未声明哪一个有效，按招标文件规定提交备选投标方案的除外； </w:t>
            </w:r>
          </w:p>
          <w:p>
            <w:pPr>
              <w:widowControl/>
              <w:jc w:val="left"/>
              <w:rPr>
                <w:rFonts w:ascii="宋体" w:hAnsi="宋体"/>
                <w:color w:val="000000"/>
                <w:kern w:val="0"/>
                <w:szCs w:val="21"/>
              </w:rPr>
            </w:pPr>
            <w:r>
              <w:rPr>
                <w:rFonts w:ascii="宋体" w:hAnsi="宋体"/>
                <w:color w:val="000000"/>
                <w:kern w:val="0"/>
                <w:szCs w:val="21"/>
              </w:rPr>
              <w:t xml:space="preserve">②投标报价高于或等于控制价； </w:t>
            </w:r>
          </w:p>
          <w:p>
            <w:pPr>
              <w:widowControl/>
              <w:jc w:val="left"/>
              <w:rPr>
                <w:rFonts w:ascii="宋体" w:hAnsi="宋体"/>
                <w:color w:val="000000"/>
                <w:kern w:val="0"/>
                <w:szCs w:val="21"/>
              </w:rPr>
            </w:pPr>
            <w:r>
              <w:rPr>
                <w:rFonts w:hint="eastAsia" w:ascii="宋体" w:hAnsi="宋体"/>
                <w:color w:val="000000"/>
                <w:kern w:val="0"/>
                <w:szCs w:val="21"/>
              </w:rPr>
              <w:t>③供应商商务标中不应出现负值，却有负值出现的；</w:t>
            </w:r>
          </w:p>
          <w:p>
            <w:pPr>
              <w:widowControl/>
              <w:jc w:val="left"/>
              <w:rPr>
                <w:rFonts w:ascii="宋体" w:hAnsi="宋体"/>
                <w:color w:val="000000"/>
                <w:kern w:val="0"/>
                <w:szCs w:val="21"/>
              </w:rPr>
            </w:pPr>
            <w:r>
              <w:rPr>
                <w:rFonts w:hint="eastAsia" w:ascii="宋体" w:hAnsi="宋体"/>
                <w:color w:val="000000"/>
                <w:kern w:val="0"/>
                <w:szCs w:val="21"/>
              </w:rPr>
              <w:t>④减少实体材料消耗量指标且不符合计量计价规范或实际情况的；</w:t>
            </w:r>
          </w:p>
          <w:p>
            <w:pPr>
              <w:widowControl/>
              <w:jc w:val="left"/>
              <w:rPr>
                <w:color w:val="000000"/>
                <w:kern w:val="0"/>
                <w:szCs w:val="21"/>
              </w:rPr>
            </w:pPr>
            <w:r>
              <w:rPr>
                <w:rFonts w:hint="eastAsia" w:ascii="宋体" w:hAnsi="宋体"/>
                <w:color w:val="000000"/>
                <w:kern w:val="0"/>
                <w:szCs w:val="21"/>
              </w:rPr>
              <w:t>⑤投标报价的总人工费与技术标中的劳动力安排计划相比，明显过低的。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偏差</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ascii="宋体" w:hAnsi="宋体"/>
                <w:color w:val="000000"/>
              </w:rPr>
              <w:t>因供应商原因造成投标报价及其综合单价遗漏的工程项目、工程内容、工程数量、费用或计算错误等，累计缺漏总额（高估冒算、多报费用不得抵消缺漏费用）占投标报价3%（含）以上或影响供应商排序的。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修正</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供应商拒不按照要求对投标文件进行澄清、说明、补正的，或评标委员根据招标文件的规定对投标文件的计算错误进行修正后，供应商不接受修正后的投标报价的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不能接受</w:t>
            </w:r>
          </w:p>
          <w:p>
            <w:pPr>
              <w:widowControl/>
              <w:jc w:val="center"/>
              <w:rPr>
                <w:color w:val="000000"/>
                <w:kern w:val="0"/>
                <w:szCs w:val="21"/>
              </w:rPr>
            </w:pPr>
            <w:r>
              <w:rPr>
                <w:color w:val="000000"/>
                <w:kern w:val="0"/>
                <w:szCs w:val="21"/>
              </w:rPr>
              <w:t>的内容</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投标文件中存在招标人不能接受的其它实质性条件或提供虚假文件</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ind w:left="-57" w:leftChars="-27"/>
              <w:jc w:val="center"/>
              <w:rPr>
                <w:color w:val="000000"/>
                <w:kern w:val="0"/>
                <w:szCs w:val="21"/>
              </w:rPr>
            </w:pPr>
            <w:r>
              <w:rPr>
                <w:color w:val="000000"/>
                <w:kern w:val="0"/>
                <w:szCs w:val="21"/>
              </w:rPr>
              <w:t>其它情形</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法律、法规规定的其它情形</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b/>
                <w:bCs/>
                <w:color w:val="000000"/>
                <w:kern w:val="0"/>
                <w:szCs w:val="21"/>
              </w:rPr>
            </w:pPr>
            <w:r>
              <w:rPr>
                <w:b/>
                <w:bCs/>
                <w:color w:val="000000"/>
                <w:kern w:val="0"/>
                <w:szCs w:val="21"/>
              </w:rPr>
              <w:t>3.1</w:t>
            </w:r>
          </w:p>
          <w:p>
            <w:pPr>
              <w:widowControl/>
              <w:jc w:val="center"/>
              <w:rPr>
                <w:b/>
                <w:bCs/>
                <w:color w:val="000000"/>
                <w:kern w:val="0"/>
                <w:szCs w:val="21"/>
              </w:rPr>
            </w:pPr>
            <w:r>
              <w:rPr>
                <w:rFonts w:hint="eastAsia"/>
                <w:b/>
                <w:bCs/>
                <w:color w:val="000000"/>
                <w:kern w:val="0"/>
                <w:szCs w:val="21"/>
              </w:rPr>
              <w:t>3.2</w:t>
            </w:r>
          </w:p>
          <w:p>
            <w:pPr>
              <w:widowControl/>
              <w:jc w:val="center"/>
              <w:rPr>
                <w:color w:val="000000"/>
                <w:kern w:val="0"/>
                <w:szCs w:val="21"/>
              </w:rPr>
            </w:pPr>
            <w:r>
              <w:rPr>
                <w:b/>
                <w:bCs/>
                <w:color w:val="000000"/>
                <w:kern w:val="0"/>
                <w:szCs w:val="21"/>
              </w:rPr>
              <w:t>3.6</w:t>
            </w:r>
          </w:p>
        </w:tc>
        <w:tc>
          <w:tcPr>
            <w:tcW w:w="420"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商务详评标准</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报价规范性评审</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对投标报价中分部分项工程综合单价、主要材料价格、人工费（含工日数量及工日单价）、机械费等进行规范性评审，对明显相互冲突、自相矛盾或不合理的，未按照工程量清单计价规范要求计价的（如：投标报价中分部分项清单综合单价低于主材价格等情况），经评审委员会做重点评审后，可作为无效投标。</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ind w:left="105" w:hanging="105" w:hangingChars="50"/>
              <w:jc w:val="center"/>
              <w:rPr>
                <w:color w:val="000000"/>
                <w:kern w:val="0"/>
                <w:szCs w:val="21"/>
              </w:rPr>
            </w:pPr>
            <w:r>
              <w:rPr>
                <w:color w:val="000000"/>
                <w:kern w:val="0"/>
                <w:szCs w:val="21"/>
              </w:rPr>
              <w:t>不平衡报价评审</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s="宋体"/>
                <w:color w:val="000000"/>
                <w:kern w:val="0"/>
                <w:szCs w:val="21"/>
              </w:rPr>
              <w:t>①</w:t>
            </w:r>
            <w:r>
              <w:rPr>
                <w:color w:val="000000"/>
                <w:kern w:val="0"/>
                <w:szCs w:val="21"/>
              </w:rPr>
              <w:t>对于投标报价明显高出控制价单价或与控制价单价相比明显降幅过大的情况，评委会重点评审后可将其作为恶意不平衡报价进行评审，其商务标作无效标处理。</w:t>
            </w:r>
          </w:p>
          <w:p>
            <w:pPr>
              <w:widowControl/>
              <w:jc w:val="left"/>
              <w:rPr>
                <w:color w:val="000000"/>
                <w:kern w:val="0"/>
                <w:szCs w:val="21"/>
              </w:rPr>
            </w:pPr>
            <w:r>
              <w:rPr>
                <w:rFonts w:hint="eastAsia" w:ascii="宋体" w:hAnsi="宋体" w:cs="宋体"/>
                <w:color w:val="000000"/>
                <w:kern w:val="0"/>
                <w:szCs w:val="21"/>
              </w:rPr>
              <w:t>②</w:t>
            </w:r>
            <w:r>
              <w:rPr>
                <w:color w:val="000000"/>
                <w:kern w:val="0"/>
                <w:szCs w:val="21"/>
              </w:rPr>
              <w:t>供应商应对控制价进行复核，认为控制价及措施费有误的，应在开标前规定疑问提交时限内提出。供应商未提出相关书面异议的，视同认可控制价所有子目组价合理。对于投标报价明显高出控制价单价的情况，评委会重点评审后可将其作为恶意不平衡报价进行评审，其商务标作无效投标处理。</w:t>
            </w:r>
          </w:p>
        </w:tc>
      </w:tr>
    </w:tbl>
    <w:p>
      <w:pPr>
        <w:tabs>
          <w:tab w:val="left" w:pos="3960"/>
        </w:tabs>
        <w:jc w:val="left"/>
        <w:rPr>
          <w:rFonts w:ascii="宋体" w:hAnsi="宋体"/>
          <w:bCs/>
          <w:color w:val="000000"/>
          <w:kern w:val="0"/>
          <w:szCs w:val="21"/>
        </w:rPr>
      </w:pPr>
      <w:r>
        <w:rPr>
          <w:rFonts w:hint="eastAsia" w:ascii="宋体" w:hAnsi="宋体"/>
          <w:bCs/>
          <w:color w:val="000000"/>
          <w:kern w:val="0"/>
          <w:szCs w:val="21"/>
        </w:rPr>
        <w:t>说明：</w:t>
      </w:r>
    </w:p>
    <w:p>
      <w:pPr>
        <w:tabs>
          <w:tab w:val="left" w:pos="3960"/>
        </w:tabs>
        <w:jc w:val="left"/>
        <w:rPr>
          <w:rFonts w:ascii="宋体" w:hAnsi="宋体"/>
          <w:bCs/>
          <w:color w:val="000000"/>
          <w:kern w:val="0"/>
          <w:szCs w:val="21"/>
        </w:rPr>
      </w:pPr>
      <w:r>
        <w:rPr>
          <w:rFonts w:hint="eastAsia" w:ascii="宋体" w:hAnsi="宋体"/>
          <w:bCs/>
          <w:color w:val="000000"/>
          <w:kern w:val="0"/>
          <w:szCs w:val="21"/>
        </w:rPr>
        <w:t>1.商务标评审采用定性方法。</w:t>
      </w:r>
    </w:p>
    <w:p>
      <w:pPr>
        <w:tabs>
          <w:tab w:val="left" w:pos="3960"/>
        </w:tabs>
        <w:jc w:val="left"/>
        <w:rPr>
          <w:rFonts w:ascii="宋体" w:hAnsi="宋体"/>
          <w:bCs/>
          <w:color w:val="000000"/>
          <w:kern w:val="0"/>
          <w:szCs w:val="21"/>
        </w:rPr>
      </w:pPr>
      <w:r>
        <w:rPr>
          <w:rFonts w:hint="eastAsia" w:ascii="宋体" w:hAnsi="宋体"/>
          <w:bCs/>
          <w:color w:val="000000"/>
          <w:kern w:val="0"/>
          <w:szCs w:val="21"/>
        </w:rPr>
        <w:t>2.评标专家根据评审要求判断每项评审内容是否合格，并在供应商评审空格内用“√”、“×”表示。</w:t>
      </w:r>
    </w:p>
    <w:p>
      <w:pPr>
        <w:tabs>
          <w:tab w:val="left" w:pos="3960"/>
        </w:tabs>
        <w:jc w:val="left"/>
        <w:rPr>
          <w:rFonts w:ascii="宋体" w:hAnsi="宋体"/>
          <w:bCs/>
          <w:color w:val="000000"/>
          <w:kern w:val="0"/>
          <w:szCs w:val="21"/>
        </w:rPr>
      </w:pPr>
      <w:r>
        <w:rPr>
          <w:rFonts w:hint="eastAsia" w:ascii="宋体" w:hAnsi="宋体"/>
          <w:bCs/>
          <w:color w:val="000000"/>
          <w:kern w:val="0"/>
          <w:szCs w:val="21"/>
        </w:rPr>
        <w:t>3.供应商应对细微偏差进行澄清并接受修正方为合格。</w:t>
      </w:r>
    </w:p>
    <w:p>
      <w:pPr>
        <w:tabs>
          <w:tab w:val="left" w:pos="3960"/>
        </w:tabs>
        <w:jc w:val="left"/>
        <w:rPr>
          <w:rFonts w:ascii="宋体" w:hAnsi="宋体"/>
          <w:bCs/>
          <w:color w:val="000000"/>
          <w:kern w:val="0"/>
          <w:szCs w:val="21"/>
        </w:rPr>
      </w:pPr>
      <w:r>
        <w:rPr>
          <w:rFonts w:hint="eastAsia" w:ascii="宋体" w:hAnsi="宋体"/>
          <w:bCs/>
          <w:color w:val="000000"/>
          <w:kern w:val="0"/>
          <w:szCs w:val="21"/>
        </w:rPr>
        <w:t>4.所有重大偏差选项必须全部通过方为合格。</w:t>
      </w:r>
    </w:p>
    <w:p>
      <w:pPr>
        <w:tabs>
          <w:tab w:val="left" w:pos="3960"/>
        </w:tabs>
        <w:jc w:val="left"/>
        <w:rPr>
          <w:rFonts w:ascii="宋体" w:hAnsi="宋体"/>
          <w:bCs/>
          <w:color w:val="000000"/>
          <w:kern w:val="0"/>
          <w:szCs w:val="21"/>
        </w:rPr>
      </w:pPr>
      <w:r>
        <w:rPr>
          <w:rFonts w:hint="eastAsia" w:ascii="宋体" w:hAnsi="宋体"/>
          <w:bCs/>
          <w:color w:val="000000"/>
          <w:kern w:val="0"/>
          <w:szCs w:val="21"/>
        </w:rPr>
        <w:t>5.所有商务标详细评审选项必须全部通过方为合格。</w:t>
      </w:r>
      <w:r>
        <w:rPr>
          <w:rFonts w:ascii="宋体" w:hAnsi="宋体"/>
          <w:bCs/>
          <w:color w:val="000000"/>
          <w:kern w:val="0"/>
          <w:sz w:val="24"/>
        </w:rPr>
        <w:br w:type="page"/>
      </w:r>
    </w:p>
    <w:p>
      <w:pPr>
        <w:keepNext/>
        <w:keepLines/>
        <w:numPr>
          <w:ilvl w:val="0"/>
          <w:numId w:val="3"/>
        </w:numPr>
        <w:spacing w:before="240" w:after="240" w:line="415" w:lineRule="auto"/>
        <w:jc w:val="center"/>
        <w:outlineLvl w:val="1"/>
        <w:rPr>
          <w:rFonts w:ascii="宋体" w:hAnsi="宋体"/>
          <w:b/>
          <w:bCs/>
          <w:color w:val="000000"/>
          <w:sz w:val="32"/>
          <w:szCs w:val="32"/>
        </w:rPr>
      </w:pPr>
      <w:bookmarkStart w:id="100" w:name="_Toc439064243"/>
      <w:bookmarkStart w:id="101" w:name="_Toc532910215"/>
      <w:bookmarkStart w:id="102" w:name="_Toc532910494"/>
      <w:r>
        <w:rPr>
          <w:rFonts w:hint="eastAsia" w:ascii="宋体" w:hAnsi="宋体"/>
          <w:b/>
          <w:bCs/>
          <w:color w:val="000000"/>
          <w:sz w:val="32"/>
          <w:szCs w:val="32"/>
        </w:rPr>
        <w:t>技术标评审标准</w:t>
      </w:r>
      <w:bookmarkEnd w:id="100"/>
      <w:bookmarkEnd w:id="101"/>
      <w:bookmarkEnd w:id="102"/>
    </w:p>
    <w:tbl>
      <w:tblPr>
        <w:tblStyle w:val="48"/>
        <w:tblW w:w="5057"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713"/>
        <w:gridCol w:w="406"/>
        <w:gridCol w:w="1357"/>
        <w:gridCol w:w="6149"/>
        <w:gridCol w:w="567"/>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388"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959" w:type="pct"/>
            <w:gridSpan w:val="2"/>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评审因素</w:t>
            </w:r>
          </w:p>
        </w:tc>
        <w:tc>
          <w:tcPr>
            <w:tcW w:w="3345"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评审标准</w:t>
            </w:r>
          </w:p>
        </w:tc>
        <w:tc>
          <w:tcPr>
            <w:tcW w:w="308" w:type="pct"/>
            <w:tcBorders>
              <w:top w:val="outset" w:color="auto" w:sz="6" w:space="0"/>
              <w:left w:val="outset" w:color="auto" w:sz="6" w:space="0"/>
              <w:bottom w:val="outset" w:color="auto" w:sz="6" w:space="0"/>
              <w:right w:val="outset" w:color="auto" w:sz="6" w:space="0"/>
            </w:tcBorders>
            <w:vAlign w:val="center"/>
          </w:tcPr>
          <w:p>
            <w:pPr>
              <w:widowControl/>
              <w:jc w:val="left"/>
              <w:rPr>
                <w:kern w:val="0"/>
                <w:szCs w:val="21"/>
              </w:rPr>
            </w:pPr>
            <w:r>
              <w:rPr>
                <w:b/>
                <w:bCs/>
                <w:kern w:val="0"/>
                <w:szCs w:val="21"/>
              </w:rPr>
              <w:t>是否必过</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94" w:hRule="atLeast"/>
        </w:trPr>
        <w:tc>
          <w:tcPr>
            <w:tcW w:w="388" w:type="pct"/>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3.</w:t>
            </w:r>
            <w:r>
              <w:rPr>
                <w:rFonts w:hint="eastAsia"/>
                <w:b/>
                <w:bCs/>
                <w:color w:val="000000"/>
                <w:kern w:val="0"/>
                <w:szCs w:val="21"/>
              </w:rPr>
              <w:t>4</w:t>
            </w:r>
          </w:p>
        </w:tc>
        <w:tc>
          <w:tcPr>
            <w:tcW w:w="221" w:type="pct"/>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技术详评标准</w:t>
            </w:r>
          </w:p>
        </w:tc>
        <w:tc>
          <w:tcPr>
            <w:tcW w:w="4391" w:type="pct"/>
            <w:gridSpan w:val="3"/>
            <w:tcBorders>
              <w:top w:val="outset" w:color="auto" w:sz="6" w:space="0"/>
              <w:left w:val="outset" w:color="auto" w:sz="6" w:space="0"/>
              <w:right w:val="outset" w:color="auto" w:sz="6" w:space="0"/>
            </w:tcBorders>
            <w:tcMar>
              <w:left w:w="75" w:type="dxa"/>
            </w:tcMar>
            <w:vAlign w:val="center"/>
          </w:tcPr>
          <w:p>
            <w:pPr>
              <w:jc w:val="left"/>
              <w:rPr>
                <w:color w:val="000000"/>
                <w:kern w:val="0"/>
                <w:szCs w:val="21"/>
              </w:rPr>
            </w:pPr>
            <w:r>
              <w:rPr>
                <w:color w:val="000000"/>
                <w:kern w:val="0"/>
                <w:szCs w:val="21"/>
              </w:rPr>
              <w:t xml:space="preserve">施工组织设计 </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工程概况</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描述是否准确</w:t>
            </w:r>
            <w:r>
              <w:rPr>
                <w:rFonts w:hint="eastAsia"/>
                <w:color w:val="000000"/>
                <w:kern w:val="0"/>
                <w:szCs w:val="21"/>
              </w:rPr>
              <w:t>。</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主要施工方法</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各主要分部施工方法符合项目实际，须有详尽的施工技术方案，工艺先进、方法科学合理、可行，能指导具体施工并确保安全。</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拟投入的主要物资计划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投入的施工材料有详细计划且计划周密，数量、选型配置、进场数量、时间安排合理，满足施工需要</w:t>
            </w:r>
            <w:r>
              <w:rPr>
                <w:rFonts w:hint="eastAsia"/>
                <w:color w:val="000000"/>
                <w:kern w:val="0"/>
                <w:szCs w:val="21"/>
              </w:rPr>
              <w:t>。</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拟投入的主要施工机械、设备计划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投入的施工机械、设备、机具有详细计划且计划周密，设备数量、选型配置、进场数量、时间安排合理，满足施工需要。</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劳动力</w:t>
            </w:r>
            <w:r>
              <w:rPr>
                <w:rFonts w:hint="eastAsia"/>
                <w:color w:val="000000"/>
                <w:kern w:val="0"/>
                <w:szCs w:val="21"/>
              </w:rPr>
              <w:t xml:space="preserve">      </w:t>
            </w:r>
            <w:r>
              <w:rPr>
                <w:color w:val="000000"/>
                <w:kern w:val="0"/>
                <w:szCs w:val="21"/>
              </w:rPr>
              <w:t>安排计划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各主要施工工序应有详细周密的劳动力安排计划明细，有各工种劳动力安排计划，劳动力投入经济合理，满足施工需要。</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确保工程质量的技术组织措施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施工项目应有专门的质量技术管理班子和制度，且人员配备合理，制度健全。主要工序应有质量技术保证措施和手段，自控体系完整，能有效保证技术质量，达到承诺的质量标准。</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确保安全生产的技术组织</w:t>
            </w:r>
            <w:r>
              <w:rPr>
                <w:rFonts w:hint="eastAsia"/>
                <w:color w:val="000000"/>
                <w:kern w:val="0"/>
                <w:szCs w:val="21"/>
              </w:rPr>
              <w:t xml:space="preserve">  </w:t>
            </w:r>
            <w:r>
              <w:rPr>
                <w:color w:val="000000"/>
                <w:kern w:val="0"/>
                <w:szCs w:val="21"/>
              </w:rPr>
              <w:t>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施工项目应有专门的安全管理人员和制度，且人员配备合理，制度健全，各道工序安全技术措施针对性强，符合实际且满足有关安全技术标准要求。现场防火、社会治安安全措施得力。</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kern w:val="0"/>
                <w:szCs w:val="21"/>
              </w:rPr>
            </w:pPr>
            <w:r>
              <w:rPr>
                <w:kern w:val="0"/>
                <w:szCs w:val="21"/>
              </w:rPr>
              <w:t>确保工期的</w:t>
            </w:r>
            <w:r>
              <w:rPr>
                <w:rFonts w:hint="eastAsia"/>
                <w:kern w:val="0"/>
                <w:szCs w:val="21"/>
              </w:rPr>
              <w:t xml:space="preserve">  </w:t>
            </w:r>
            <w:r>
              <w:rPr>
                <w:kern w:val="0"/>
                <w:szCs w:val="21"/>
              </w:rPr>
              <w:t>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kern w:val="0"/>
                <w:szCs w:val="21"/>
              </w:rPr>
            </w:pPr>
            <w:r>
              <w:rPr>
                <w:kern w:val="0"/>
                <w:szCs w:val="21"/>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确保文明施工的技术组织措施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针对本工程项目特点，应有现场文明施工计划，环境保护措施，且计划措施内容应达到“安全文明示范工地”标准。各项措施周全、具体、有效。有具体实现现场文明施工目标的承诺。</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kern w:val="0"/>
                <w:szCs w:val="21"/>
              </w:rPr>
            </w:pPr>
            <w:r>
              <w:rPr>
                <w:kern w:val="0"/>
                <w:szCs w:val="21"/>
              </w:rPr>
              <w:t>施工总平面布置图</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kern w:val="0"/>
                <w:szCs w:val="21"/>
              </w:rPr>
            </w:pPr>
            <w:r>
              <w:rPr>
                <w:kern w:val="0"/>
                <w:szCs w:val="21"/>
              </w:rPr>
              <w:t>应有施工总平面布置图，安排科学合理，符合本项目施工实际要求。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重点、难点</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满足招标文件前附表重难点要求，应单独成章，可以根据供应商理解另行增加内容。</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施工组织</w:t>
            </w:r>
            <w:r>
              <w:rPr>
                <w:rFonts w:hint="eastAsia"/>
                <w:color w:val="000000"/>
                <w:kern w:val="0"/>
                <w:szCs w:val="21"/>
              </w:rPr>
              <w:t xml:space="preserve">    </w:t>
            </w:r>
            <w:r>
              <w:rPr>
                <w:color w:val="000000"/>
                <w:kern w:val="0"/>
                <w:szCs w:val="21"/>
              </w:rPr>
              <w:t>设计整体</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针对性、完整性符合要求。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其它</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bl>
    <w:p>
      <w:pPr>
        <w:rPr>
          <w:rFonts w:ascii="Calibri" w:hAnsi="Calibri"/>
          <w:color w:val="000000"/>
          <w:szCs w:val="21"/>
        </w:rPr>
      </w:pPr>
      <w:r>
        <w:rPr>
          <w:rFonts w:ascii="Calibri" w:hAnsi="Calibri"/>
          <w:color w:val="000000"/>
          <w:szCs w:val="21"/>
        </w:rPr>
        <w:t xml:space="preserve"> </w:t>
      </w:r>
      <w:r>
        <w:rPr>
          <w:rFonts w:hint="eastAsia" w:ascii="Calibri" w:hAnsi="Calibri"/>
          <w:color w:val="000000"/>
          <w:szCs w:val="21"/>
        </w:rPr>
        <w:t>说明：</w:t>
      </w:r>
    </w:p>
    <w:p>
      <w:pPr>
        <w:spacing w:line="360" w:lineRule="auto"/>
        <w:rPr>
          <w:rFonts w:ascii="Calibri" w:hAnsi="Calibri"/>
          <w:color w:val="000000"/>
          <w:szCs w:val="21"/>
        </w:rPr>
      </w:pPr>
      <w:r>
        <w:rPr>
          <w:rFonts w:hint="eastAsia" w:ascii="Calibri" w:hAnsi="Calibri"/>
          <w:color w:val="000000"/>
          <w:szCs w:val="21"/>
        </w:rPr>
        <w:t>1. 技术标评审采用定性方法。</w:t>
      </w:r>
    </w:p>
    <w:p>
      <w:pPr>
        <w:spacing w:line="360" w:lineRule="auto"/>
        <w:rPr>
          <w:rFonts w:ascii="Calibri" w:hAnsi="Calibri"/>
          <w:color w:val="000000"/>
          <w:szCs w:val="21"/>
        </w:rPr>
      </w:pPr>
      <w:r>
        <w:rPr>
          <w:rFonts w:hint="eastAsia" w:ascii="Calibri" w:hAnsi="Calibri"/>
          <w:color w:val="000000"/>
          <w:szCs w:val="21"/>
        </w:rPr>
        <w:t>2. 评标专家根据评审要求判断每项评审内容是否合格，并在供应商评审空格内用“√”、“×”表示。</w:t>
      </w:r>
    </w:p>
    <w:p>
      <w:pPr>
        <w:spacing w:line="360" w:lineRule="auto"/>
        <w:rPr>
          <w:rFonts w:ascii="Calibri" w:hAnsi="Calibri"/>
          <w:color w:val="000000"/>
          <w:szCs w:val="21"/>
        </w:rPr>
      </w:pPr>
      <w:r>
        <w:rPr>
          <w:rFonts w:hint="eastAsia" w:ascii="Calibri" w:hAnsi="Calibri"/>
          <w:color w:val="000000"/>
          <w:szCs w:val="21"/>
        </w:rPr>
        <w:t>3. 以上选项要求通过必须全部通过，且所有选项必须通过70%及以上，技术标方为通过。</w:t>
      </w:r>
    </w:p>
    <w:p>
      <w:pPr>
        <w:keepNext/>
        <w:keepLines/>
        <w:spacing w:before="260" w:after="260" w:line="415" w:lineRule="auto"/>
        <w:outlineLvl w:val="1"/>
        <w:rPr>
          <w:rFonts w:ascii="Arial" w:hAnsi="Arial" w:eastAsia="黑体"/>
          <w:b/>
          <w:bCs/>
          <w:color w:val="000000"/>
          <w:sz w:val="32"/>
          <w:szCs w:val="32"/>
        </w:rPr>
      </w:pPr>
      <w:bookmarkStart w:id="103" w:name="_Toc532910495"/>
      <w:bookmarkStart w:id="104" w:name="_Toc532910216"/>
      <w:bookmarkStart w:id="105" w:name="_Toc439064244"/>
      <w:r>
        <w:rPr>
          <w:rFonts w:hint="eastAsia" w:ascii="Arial" w:hAnsi="Arial" w:eastAsia="黑体"/>
          <w:b/>
          <w:bCs/>
          <w:color w:val="000000"/>
          <w:sz w:val="32"/>
          <w:szCs w:val="32"/>
        </w:rPr>
        <w:t>1. 评标方法</w:t>
      </w:r>
      <w:bookmarkEnd w:id="103"/>
      <w:bookmarkEnd w:id="104"/>
      <w:bookmarkEnd w:id="105"/>
    </w:p>
    <w:p>
      <w:pPr>
        <w:spacing w:line="400" w:lineRule="exact"/>
        <w:ind w:firstLine="480" w:firstLineChars="200"/>
        <w:rPr>
          <w:rFonts w:ascii="宋体" w:hAnsi="宋体"/>
          <w:color w:val="FF0000"/>
          <w:szCs w:val="22"/>
        </w:rPr>
      </w:pPr>
      <w:bookmarkStart w:id="106" w:name="_Toc532910496"/>
      <w:bookmarkStart w:id="107" w:name="_Toc532910217"/>
      <w:bookmarkStart w:id="108" w:name="_Toc439064245"/>
      <w:r>
        <w:rPr>
          <w:rFonts w:hint="eastAsia" w:ascii="宋体" w:hAnsi="宋体"/>
          <w:color w:val="FF0000"/>
          <w:sz w:val="24"/>
        </w:rPr>
        <w:t>本次评标采用</w:t>
      </w:r>
      <w:r>
        <w:rPr>
          <w:rFonts w:hint="eastAsia" w:ascii="宋体" w:hAnsi="宋体" w:cs="Arial"/>
          <w:b/>
          <w:color w:val="FF0000"/>
          <w:kern w:val="0"/>
          <w:sz w:val="24"/>
        </w:rPr>
        <w:t>多次报价后执行有效最低价合格制评审法且开标当天不宣布中标结果，潜在投标供应商不认可本评审办法可拒绝投标</w:t>
      </w:r>
      <w:r>
        <w:rPr>
          <w:rFonts w:hint="eastAsia" w:ascii="宋体" w:hAnsi="宋体"/>
          <w:color w:val="FF0000"/>
          <w:sz w:val="24"/>
        </w:rPr>
        <w:t>，即评标委员会遵循规定评标原则，对供应商按投标报价从低到高（不高于控制价）依次进行资格审查、商务标评审和技术标评审，评审均通过的即为第一中标候选人。如供应商资格审查、商务标和技术标评审中任一项被判定为未通过评审，再按报价由低到高依次进行递补，按顺序依次评出第一中标候选人、第二中标候选人（如有）。</w:t>
      </w:r>
    </w:p>
    <w:p>
      <w:pPr>
        <w:keepNext/>
        <w:keepLines/>
        <w:spacing w:before="260" w:after="260" w:line="415" w:lineRule="auto"/>
        <w:outlineLvl w:val="1"/>
        <w:rPr>
          <w:rFonts w:ascii="Arial" w:hAnsi="Arial" w:eastAsia="黑体"/>
          <w:b/>
          <w:bCs/>
          <w:color w:val="000000"/>
          <w:sz w:val="32"/>
          <w:szCs w:val="32"/>
        </w:rPr>
      </w:pPr>
      <w:r>
        <w:rPr>
          <w:rFonts w:hint="eastAsia" w:ascii="Arial" w:hAnsi="Arial" w:eastAsia="黑体"/>
          <w:b/>
          <w:bCs/>
          <w:color w:val="000000"/>
          <w:sz w:val="32"/>
          <w:szCs w:val="32"/>
        </w:rPr>
        <w:t>2. 评审标准</w:t>
      </w:r>
      <w:bookmarkEnd w:id="106"/>
      <w:bookmarkEnd w:id="107"/>
      <w:bookmarkEnd w:id="108"/>
    </w:p>
    <w:p>
      <w:pPr>
        <w:spacing w:line="400" w:lineRule="exact"/>
        <w:ind w:firstLine="420" w:firstLineChars="200"/>
        <w:rPr>
          <w:color w:val="000000"/>
        </w:rPr>
      </w:pPr>
      <w:r>
        <w:rPr>
          <w:rFonts w:hint="eastAsia"/>
          <w:color w:val="000000"/>
        </w:rPr>
        <w:t>2.1 资格审查标准：见评标办法前附表。</w:t>
      </w:r>
    </w:p>
    <w:p>
      <w:pPr>
        <w:spacing w:line="400" w:lineRule="exact"/>
        <w:ind w:firstLine="420" w:firstLineChars="200"/>
        <w:rPr>
          <w:color w:val="000000"/>
        </w:rPr>
      </w:pPr>
      <w:r>
        <w:rPr>
          <w:rFonts w:hint="eastAsia"/>
          <w:color w:val="000000"/>
        </w:rPr>
        <w:t>2.2 商务标评审标准：见评标办法前附表。</w:t>
      </w:r>
    </w:p>
    <w:p>
      <w:pPr>
        <w:spacing w:line="400" w:lineRule="exact"/>
        <w:ind w:firstLine="420" w:firstLineChars="200"/>
        <w:rPr>
          <w:color w:val="000000"/>
        </w:rPr>
      </w:pPr>
      <w:r>
        <w:rPr>
          <w:rFonts w:hint="eastAsia"/>
          <w:color w:val="000000"/>
        </w:rPr>
        <w:t>2.3 技术标评审标准：见评标办法前附表。</w:t>
      </w:r>
    </w:p>
    <w:p>
      <w:pPr>
        <w:keepNext/>
        <w:keepLines/>
        <w:spacing w:before="260" w:after="260" w:line="415" w:lineRule="auto"/>
        <w:outlineLvl w:val="1"/>
        <w:rPr>
          <w:rFonts w:ascii="Arial" w:hAnsi="Arial" w:eastAsia="黑体"/>
          <w:b/>
          <w:bCs/>
          <w:color w:val="000000"/>
          <w:sz w:val="32"/>
          <w:szCs w:val="32"/>
        </w:rPr>
      </w:pPr>
      <w:bookmarkStart w:id="109" w:name="_Toc439064246"/>
      <w:bookmarkStart w:id="110" w:name="_Toc532910218"/>
      <w:bookmarkStart w:id="111" w:name="_Toc532910497"/>
      <w:r>
        <w:rPr>
          <w:rFonts w:hint="eastAsia" w:ascii="Arial" w:hAnsi="Arial" w:eastAsia="黑体"/>
          <w:b/>
          <w:bCs/>
          <w:color w:val="000000"/>
          <w:sz w:val="32"/>
          <w:szCs w:val="32"/>
        </w:rPr>
        <w:t>3. 评标程序</w:t>
      </w:r>
      <w:bookmarkEnd w:id="109"/>
      <w:bookmarkEnd w:id="110"/>
      <w:bookmarkEnd w:id="111"/>
    </w:p>
    <w:p>
      <w:pPr>
        <w:keepNext/>
        <w:keepLines/>
        <w:spacing w:before="260" w:after="260" w:line="415" w:lineRule="auto"/>
        <w:outlineLvl w:val="2"/>
        <w:rPr>
          <w:b/>
          <w:bCs/>
          <w:color w:val="000000"/>
          <w:sz w:val="32"/>
          <w:szCs w:val="32"/>
        </w:rPr>
      </w:pPr>
      <w:bookmarkStart w:id="112" w:name="_Toc439064247"/>
      <w:bookmarkStart w:id="113" w:name="_Toc532910219"/>
      <w:bookmarkStart w:id="114" w:name="_Toc532910498"/>
      <w:r>
        <w:rPr>
          <w:rFonts w:hint="eastAsia"/>
          <w:b/>
          <w:bCs/>
          <w:color w:val="000000"/>
          <w:sz w:val="32"/>
          <w:szCs w:val="32"/>
        </w:rPr>
        <w:t>3.1 确定评审范围</w:t>
      </w:r>
      <w:bookmarkEnd w:id="112"/>
      <w:bookmarkEnd w:id="113"/>
      <w:bookmarkEnd w:id="114"/>
      <w:r>
        <w:rPr>
          <w:rFonts w:hint="eastAsia"/>
          <w:b/>
          <w:bCs/>
          <w:color w:val="000000"/>
          <w:sz w:val="32"/>
          <w:szCs w:val="32"/>
        </w:rPr>
        <w:t xml:space="preserve"> </w:t>
      </w:r>
    </w:p>
    <w:p>
      <w:pPr>
        <w:spacing w:line="400" w:lineRule="exact"/>
        <w:ind w:firstLine="420" w:firstLineChars="200"/>
        <w:rPr>
          <w:rFonts w:ascii="宋体" w:hAnsi="宋体"/>
          <w:color w:val="000000"/>
          <w:szCs w:val="22"/>
        </w:rPr>
      </w:pPr>
      <w:r>
        <w:rPr>
          <w:rFonts w:hint="eastAsia" w:ascii="宋体" w:hAnsi="宋体"/>
          <w:color w:val="000000"/>
          <w:szCs w:val="22"/>
        </w:rPr>
        <w:t>对投标报价低于控制价的，按由低到高排序依次进行资格审查、商务标评审和技术标评审，直至选出第一中标候选人、第二中标候选人。遇到相同报价的，由该部分供应商抽签确定排序。</w:t>
      </w:r>
    </w:p>
    <w:p>
      <w:pPr>
        <w:keepNext/>
        <w:keepLines/>
        <w:spacing w:before="260" w:after="260" w:line="415" w:lineRule="auto"/>
        <w:outlineLvl w:val="2"/>
        <w:rPr>
          <w:b/>
          <w:bCs/>
          <w:color w:val="000000"/>
          <w:sz w:val="32"/>
          <w:szCs w:val="32"/>
        </w:rPr>
      </w:pPr>
      <w:bookmarkStart w:id="115" w:name="_Toc439064248"/>
      <w:bookmarkStart w:id="116" w:name="_Toc532910220"/>
      <w:bookmarkStart w:id="117" w:name="_Toc532910499"/>
      <w:r>
        <w:rPr>
          <w:rFonts w:hint="eastAsia"/>
          <w:b/>
          <w:bCs/>
          <w:color w:val="000000"/>
          <w:sz w:val="32"/>
          <w:szCs w:val="32"/>
        </w:rPr>
        <w:t>3.2 资格审查</w:t>
      </w:r>
      <w:bookmarkEnd w:id="115"/>
      <w:bookmarkEnd w:id="116"/>
      <w:bookmarkEnd w:id="117"/>
    </w:p>
    <w:p>
      <w:pPr>
        <w:spacing w:line="400" w:lineRule="exact"/>
        <w:ind w:firstLine="420" w:firstLineChars="200"/>
        <w:rPr>
          <w:rFonts w:ascii="宋体" w:hAnsi="宋体"/>
          <w:color w:val="000000"/>
          <w:szCs w:val="22"/>
        </w:rPr>
      </w:pPr>
      <w:r>
        <w:rPr>
          <w:rFonts w:hint="eastAsia" w:ascii="宋体" w:hAnsi="宋体"/>
          <w:color w:val="000000"/>
          <w:szCs w:val="21"/>
        </w:rPr>
        <w:t>资格审查采用定性方法，符合性评审</w:t>
      </w:r>
      <w:r>
        <w:rPr>
          <w:rFonts w:hint="eastAsia" w:ascii="宋体" w:hAnsi="宋体"/>
          <w:color w:val="000000"/>
          <w:szCs w:val="22"/>
        </w:rPr>
        <w:t>（具体见</w:t>
      </w:r>
      <w:r>
        <w:rPr>
          <w:rFonts w:hint="eastAsia" w:ascii="宋体" w:hAnsi="宋体"/>
          <w:color w:val="000000"/>
          <w:szCs w:val="22"/>
          <w:lang w:eastAsia="zh-CN"/>
        </w:rPr>
        <w:t>招标</w:t>
      </w:r>
      <w:r>
        <w:rPr>
          <w:rFonts w:hint="eastAsia" w:ascii="宋体" w:hAnsi="宋体"/>
          <w:color w:val="000000"/>
          <w:szCs w:val="22"/>
        </w:rPr>
        <w:t>公告）。</w:t>
      </w:r>
    </w:p>
    <w:p>
      <w:pPr>
        <w:spacing w:line="400" w:lineRule="exact"/>
        <w:ind w:firstLine="420" w:firstLineChars="200"/>
        <w:rPr>
          <w:rFonts w:ascii="宋体" w:hAnsi="宋体"/>
          <w:color w:val="000000"/>
          <w:szCs w:val="22"/>
        </w:rPr>
      </w:pPr>
      <w:r>
        <w:rPr>
          <w:rFonts w:hint="eastAsia" w:ascii="宋体" w:hAnsi="宋体"/>
          <w:color w:val="000000"/>
          <w:szCs w:val="22"/>
        </w:rPr>
        <w:t>上述内容均满足的供应商的投标文件方可进行下一步评审。</w:t>
      </w:r>
    </w:p>
    <w:p>
      <w:pPr>
        <w:spacing w:line="400" w:lineRule="exact"/>
        <w:ind w:firstLine="420" w:firstLineChars="200"/>
        <w:rPr>
          <w:rFonts w:ascii="宋体" w:hAnsi="宋体"/>
          <w:color w:val="000000"/>
          <w:szCs w:val="22"/>
        </w:rPr>
      </w:pPr>
      <w:r>
        <w:rPr>
          <w:rFonts w:hint="eastAsia" w:ascii="宋体" w:hAnsi="宋体"/>
          <w:color w:val="000000"/>
          <w:szCs w:val="22"/>
        </w:rPr>
        <w:t>评委会对上述内容进行符合性评审时，如发现投标文件内容与招标文件规定内容存在偏差，应要求供应商澄清、说明或补正。</w:t>
      </w:r>
    </w:p>
    <w:p>
      <w:pPr>
        <w:spacing w:line="400" w:lineRule="exact"/>
        <w:ind w:firstLine="420" w:firstLineChars="200"/>
        <w:rPr>
          <w:rFonts w:ascii="宋体" w:hAnsi="宋体"/>
          <w:color w:val="000000"/>
          <w:szCs w:val="22"/>
        </w:rPr>
      </w:pPr>
      <w:r>
        <w:rPr>
          <w:rFonts w:hint="eastAsia" w:ascii="宋体" w:hAnsi="宋体"/>
          <w:color w:val="000000"/>
        </w:rPr>
        <w:t>资格审查文件有以下情形之一的，资格审查不合格，投标文件为无效标：</w:t>
      </w:r>
    </w:p>
    <w:p>
      <w:pPr>
        <w:spacing w:line="400" w:lineRule="exact"/>
        <w:ind w:firstLine="420" w:firstLineChars="200"/>
        <w:rPr>
          <w:rFonts w:ascii="宋体" w:hAnsi="宋体"/>
          <w:color w:val="000000"/>
          <w:szCs w:val="22"/>
        </w:rPr>
      </w:pPr>
      <w:r>
        <w:rPr>
          <w:rFonts w:hint="eastAsia" w:ascii="宋体" w:hAnsi="宋体"/>
          <w:color w:val="000000"/>
          <w:szCs w:val="22"/>
        </w:rPr>
        <w:t>①企业资质、业绩与招标文件要求不一致或超出年审合格有效期且无证明材料的；</w:t>
      </w:r>
    </w:p>
    <w:p>
      <w:pPr>
        <w:spacing w:line="400" w:lineRule="exact"/>
        <w:ind w:firstLine="420" w:firstLineChars="200"/>
        <w:rPr>
          <w:rFonts w:ascii="宋体" w:hAnsi="宋体"/>
          <w:color w:val="000000"/>
          <w:szCs w:val="22"/>
        </w:rPr>
      </w:pPr>
      <w:r>
        <w:rPr>
          <w:rFonts w:hint="eastAsia" w:ascii="宋体" w:hAnsi="宋体"/>
          <w:color w:val="000000"/>
          <w:szCs w:val="22"/>
        </w:rPr>
        <w:t>②营业执照中企业名称、法定代表人与其它资料不一致或不符合招标文件要求；</w:t>
      </w:r>
    </w:p>
    <w:p>
      <w:pPr>
        <w:spacing w:line="400" w:lineRule="exact"/>
        <w:ind w:firstLine="420" w:firstLineChars="200"/>
        <w:rPr>
          <w:rFonts w:ascii="宋体" w:hAnsi="宋体"/>
          <w:color w:val="000000"/>
          <w:szCs w:val="22"/>
        </w:rPr>
      </w:pPr>
      <w:r>
        <w:rPr>
          <w:rFonts w:hint="eastAsia" w:ascii="宋体" w:hAnsi="宋体"/>
          <w:color w:val="000000"/>
          <w:szCs w:val="22"/>
        </w:rPr>
        <w:t>③未提交安全生产许可证或超出有效期的；</w:t>
      </w:r>
    </w:p>
    <w:p>
      <w:pPr>
        <w:spacing w:line="400" w:lineRule="exact"/>
        <w:ind w:firstLine="420" w:firstLineChars="200"/>
        <w:rPr>
          <w:rFonts w:ascii="宋体" w:hAnsi="宋体"/>
          <w:color w:val="000000"/>
          <w:szCs w:val="22"/>
        </w:rPr>
      </w:pPr>
      <w:r>
        <w:rPr>
          <w:rFonts w:hint="eastAsia" w:ascii="宋体" w:hAnsi="宋体"/>
          <w:color w:val="000000"/>
          <w:szCs w:val="22"/>
        </w:rPr>
        <w:t>④项目经理资格证书、注册单位、业绩与招标文件要求不一致，或法律法规规定不具备担任本项目经理条件的，或未同时提交有效安全生产考核合格B证的，或项目经理</w:t>
      </w:r>
      <w:r>
        <w:rPr>
          <w:snapToGrid w:val="0"/>
          <w:color w:val="000000"/>
          <w:kern w:val="0"/>
          <w:szCs w:val="21"/>
        </w:rPr>
        <w:t>在其他项目上任职</w:t>
      </w:r>
      <w:r>
        <w:rPr>
          <w:rFonts w:hint="eastAsia"/>
          <w:snapToGrid w:val="0"/>
          <w:color w:val="000000"/>
          <w:kern w:val="0"/>
          <w:szCs w:val="21"/>
        </w:rPr>
        <w:t>且</w:t>
      </w:r>
      <w:r>
        <w:rPr>
          <w:snapToGrid w:val="0"/>
          <w:color w:val="000000"/>
          <w:kern w:val="0"/>
          <w:szCs w:val="21"/>
        </w:rPr>
        <w:t>本项目中标后</w:t>
      </w:r>
      <w:r>
        <w:rPr>
          <w:rFonts w:hint="eastAsia"/>
          <w:snapToGrid w:val="0"/>
          <w:color w:val="000000"/>
          <w:kern w:val="0"/>
          <w:szCs w:val="21"/>
        </w:rPr>
        <w:t>不</w:t>
      </w:r>
      <w:r>
        <w:rPr>
          <w:snapToGrid w:val="0"/>
          <w:color w:val="000000"/>
          <w:kern w:val="0"/>
          <w:szCs w:val="21"/>
        </w:rPr>
        <w:t>能够从</w:t>
      </w:r>
      <w:r>
        <w:rPr>
          <w:rFonts w:hint="eastAsia"/>
          <w:snapToGrid w:val="0"/>
          <w:color w:val="000000"/>
          <w:kern w:val="0"/>
          <w:szCs w:val="21"/>
        </w:rPr>
        <w:t>任职</w:t>
      </w:r>
      <w:r>
        <w:rPr>
          <w:snapToGrid w:val="0"/>
          <w:color w:val="000000"/>
          <w:kern w:val="0"/>
          <w:szCs w:val="21"/>
        </w:rPr>
        <w:t>项目撤离</w:t>
      </w:r>
      <w:r>
        <w:rPr>
          <w:rFonts w:hint="eastAsia" w:ascii="宋体" w:hAnsi="宋体"/>
          <w:color w:val="000000"/>
          <w:szCs w:val="22"/>
        </w:rPr>
        <w:t>的；</w:t>
      </w:r>
    </w:p>
    <w:p>
      <w:pPr>
        <w:spacing w:line="400" w:lineRule="exact"/>
        <w:ind w:firstLine="420" w:firstLineChars="200"/>
        <w:rPr>
          <w:rFonts w:ascii="宋体" w:hAnsi="宋体"/>
          <w:szCs w:val="22"/>
        </w:rPr>
      </w:pPr>
      <w:r>
        <w:rPr>
          <w:rFonts w:hint="eastAsia" w:ascii="宋体" w:hAnsi="宋体"/>
          <w:szCs w:val="22"/>
        </w:rPr>
        <w:t>⑤未按招标文件要求提交投标保证金的；</w:t>
      </w:r>
    </w:p>
    <w:p>
      <w:pPr>
        <w:spacing w:line="400" w:lineRule="exact"/>
        <w:ind w:firstLine="420" w:firstLineChars="200"/>
        <w:rPr>
          <w:rFonts w:ascii="宋体" w:hAnsi="宋体"/>
          <w:color w:val="000000"/>
          <w:szCs w:val="22"/>
        </w:rPr>
      </w:pPr>
      <w:r>
        <w:rPr>
          <w:rFonts w:hint="eastAsia" w:ascii="宋体" w:hAnsi="宋体"/>
          <w:color w:val="000000"/>
          <w:szCs w:val="22"/>
        </w:rPr>
        <w:t>⑥投标文件未按要求盖章或签字或签章的；</w:t>
      </w:r>
    </w:p>
    <w:p>
      <w:pPr>
        <w:spacing w:line="400" w:lineRule="exact"/>
        <w:ind w:firstLine="420" w:firstLineChars="200"/>
        <w:rPr>
          <w:rFonts w:ascii="宋体" w:hAnsi="宋体"/>
          <w:color w:val="000000"/>
          <w:szCs w:val="22"/>
        </w:rPr>
      </w:pPr>
      <w:r>
        <w:rPr>
          <w:rFonts w:hint="eastAsia" w:ascii="宋体" w:hAnsi="宋体"/>
          <w:color w:val="000000"/>
          <w:szCs w:val="22"/>
        </w:rPr>
        <w:t>⑦招标文件或法律法规规定的其它情形。</w:t>
      </w:r>
    </w:p>
    <w:p>
      <w:pPr>
        <w:keepNext/>
        <w:keepLines/>
        <w:spacing w:before="260" w:after="260" w:line="415" w:lineRule="auto"/>
        <w:outlineLvl w:val="2"/>
        <w:rPr>
          <w:b/>
          <w:bCs/>
          <w:color w:val="000000"/>
          <w:sz w:val="32"/>
          <w:szCs w:val="32"/>
        </w:rPr>
      </w:pPr>
      <w:bookmarkStart w:id="118" w:name="_Toc439064249"/>
      <w:bookmarkStart w:id="119" w:name="_Toc532910221"/>
      <w:bookmarkStart w:id="120" w:name="_Toc532910500"/>
      <w:r>
        <w:rPr>
          <w:rFonts w:hint="eastAsia"/>
          <w:b/>
          <w:bCs/>
          <w:color w:val="000000"/>
          <w:sz w:val="32"/>
          <w:szCs w:val="32"/>
        </w:rPr>
        <w:t>3.3 商务标评审</w:t>
      </w:r>
      <w:bookmarkEnd w:id="118"/>
      <w:bookmarkEnd w:id="119"/>
      <w:bookmarkEnd w:id="120"/>
    </w:p>
    <w:p>
      <w:pPr>
        <w:spacing w:line="360" w:lineRule="auto"/>
        <w:ind w:firstLine="420" w:firstLineChars="200"/>
        <w:rPr>
          <w:rFonts w:ascii="宋体" w:hAnsi="宋体"/>
          <w:color w:val="000000"/>
          <w:szCs w:val="21"/>
        </w:rPr>
      </w:pPr>
      <w:r>
        <w:rPr>
          <w:rFonts w:hint="eastAsia" w:ascii="宋体" w:hAnsi="宋体"/>
          <w:color w:val="000000"/>
          <w:szCs w:val="21"/>
        </w:rPr>
        <w:t>对于投标报价高于或等于控制价的，作无效标判定。</w:t>
      </w:r>
    </w:p>
    <w:p>
      <w:pPr>
        <w:spacing w:line="400" w:lineRule="exact"/>
        <w:ind w:firstLine="420" w:firstLineChars="200"/>
        <w:rPr>
          <w:rFonts w:ascii="宋体" w:hAnsi="宋体"/>
          <w:color w:val="000000"/>
          <w:szCs w:val="21"/>
        </w:rPr>
      </w:pPr>
      <w:r>
        <w:rPr>
          <w:rFonts w:hint="eastAsia" w:ascii="宋体" w:hAnsi="宋体"/>
          <w:color w:val="000000"/>
          <w:szCs w:val="21"/>
        </w:rPr>
        <w:t>对投标报价按由低到高排序依次进行资格审查、商务标和技术标评审，直至选出第一中标候选人和</w:t>
      </w:r>
      <w:r>
        <w:rPr>
          <w:rFonts w:hint="eastAsia" w:ascii="宋体" w:hAnsi="宋体"/>
          <w:color w:val="000000"/>
          <w:szCs w:val="22"/>
        </w:rPr>
        <w:t>第二中标候选人</w:t>
      </w:r>
      <w:r>
        <w:rPr>
          <w:rFonts w:hint="eastAsia" w:ascii="宋体" w:hAnsi="宋体"/>
          <w:color w:val="000000"/>
          <w:szCs w:val="21"/>
        </w:rPr>
        <w:t>。遇到相同报价的，由该部分供应商抽签确定排序。</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3.3.1 商务标报价初步评审</w:t>
      </w:r>
    </w:p>
    <w:p>
      <w:pPr>
        <w:spacing w:line="360" w:lineRule="auto"/>
        <w:ind w:firstLine="352" w:firstLineChars="168"/>
        <w:rPr>
          <w:rFonts w:ascii="宋体" w:hAnsi="宋体"/>
          <w:color w:val="000000"/>
        </w:rPr>
      </w:pPr>
      <w:r>
        <w:rPr>
          <w:rFonts w:hint="eastAsia" w:ascii="宋体" w:hAnsi="宋体"/>
          <w:color w:val="000000"/>
        </w:rPr>
        <w:t>A、清标</w:t>
      </w:r>
    </w:p>
    <w:p>
      <w:pPr>
        <w:spacing w:line="360" w:lineRule="auto"/>
        <w:ind w:firstLine="352" w:firstLineChars="168"/>
        <w:rPr>
          <w:rFonts w:ascii="宋体" w:hAnsi="宋体"/>
          <w:color w:val="000000"/>
        </w:rPr>
      </w:pPr>
      <w:r>
        <w:rPr>
          <w:rFonts w:hint="eastAsia" w:ascii="宋体" w:hAnsi="宋体"/>
          <w:color w:val="000000"/>
        </w:rPr>
        <w:t>⑴清标是指供应商的工程量清单投标报价采用核对、比较、筛选等方法，对基础性数据进行分析和整理。其目的是找出投标文件中可能存在疑义或者显著异常的数据，为评审中的质疑工作提供基础。</w:t>
      </w:r>
    </w:p>
    <w:p>
      <w:pPr>
        <w:spacing w:line="360" w:lineRule="auto"/>
        <w:ind w:firstLine="352" w:firstLineChars="168"/>
        <w:rPr>
          <w:rFonts w:ascii="宋体" w:hAnsi="宋体"/>
          <w:color w:val="000000"/>
        </w:rPr>
      </w:pPr>
      <w:r>
        <w:rPr>
          <w:rFonts w:hint="eastAsia" w:ascii="宋体" w:hAnsi="宋体"/>
          <w:color w:val="000000"/>
        </w:rPr>
        <w:t>⑵清标工作可以使用计算机评标系统辅助评标委员会完成。</w:t>
      </w:r>
    </w:p>
    <w:p>
      <w:pPr>
        <w:spacing w:line="360" w:lineRule="auto"/>
        <w:ind w:firstLine="352" w:firstLineChars="168"/>
        <w:rPr>
          <w:rFonts w:ascii="宋体" w:hAnsi="宋体"/>
          <w:color w:val="000000"/>
        </w:rPr>
      </w:pPr>
      <w:r>
        <w:rPr>
          <w:rFonts w:hint="eastAsia" w:ascii="宋体" w:hAnsi="宋体"/>
          <w:color w:val="000000"/>
        </w:rPr>
        <w:t>⑶清标的内容和步骤：</w:t>
      </w:r>
    </w:p>
    <w:p>
      <w:pPr>
        <w:spacing w:line="400" w:lineRule="exact"/>
        <w:ind w:left="426"/>
        <w:rPr>
          <w:rFonts w:ascii="宋体" w:hAnsi="宋体"/>
          <w:color w:val="000000"/>
          <w:szCs w:val="22"/>
        </w:rPr>
      </w:pPr>
      <w:r>
        <w:rPr>
          <w:rFonts w:hint="eastAsia" w:ascii="宋体" w:hAnsi="宋体"/>
          <w:color w:val="000000"/>
          <w:szCs w:val="22"/>
        </w:rPr>
        <w:t>①投标文件在符合性、响应性等方面存在的偏差。</w:t>
      </w:r>
    </w:p>
    <w:p>
      <w:pPr>
        <w:spacing w:line="400" w:lineRule="exact"/>
        <w:ind w:firstLine="420" w:firstLineChars="200"/>
        <w:rPr>
          <w:rFonts w:ascii="宋体" w:hAnsi="宋体"/>
          <w:color w:val="000000"/>
        </w:rPr>
      </w:pPr>
      <w:r>
        <w:rPr>
          <w:rFonts w:hint="eastAsia" w:ascii="宋体" w:hAnsi="宋体"/>
          <w:color w:val="000000"/>
          <w:szCs w:val="22"/>
        </w:rPr>
        <w:t>②投标文件存在的算术</w:t>
      </w:r>
      <w:r>
        <w:rPr>
          <w:rFonts w:hint="eastAsia" w:ascii="宋体" w:hAnsi="宋体"/>
          <w:color w:val="000000"/>
        </w:rPr>
        <w:t>计算错误和修正结果。</w:t>
      </w:r>
    </w:p>
    <w:p>
      <w:pPr>
        <w:spacing w:line="360" w:lineRule="auto"/>
        <w:ind w:firstLine="352" w:firstLineChars="168"/>
        <w:rPr>
          <w:rFonts w:ascii="宋体" w:hAnsi="宋体"/>
          <w:color w:val="000000"/>
        </w:rPr>
      </w:pPr>
      <w:r>
        <w:rPr>
          <w:rFonts w:hint="eastAsia" w:ascii="宋体" w:hAnsi="宋体"/>
          <w:color w:val="000000"/>
        </w:rPr>
        <w:t>③在列出的所有偏差中，属于重大偏差的情形和相关依据；在列出的所有偏差中，属于细微偏差的情形。</w:t>
      </w:r>
    </w:p>
    <w:p>
      <w:pPr>
        <w:spacing w:line="360" w:lineRule="auto"/>
        <w:ind w:firstLine="352" w:firstLineChars="168"/>
        <w:rPr>
          <w:rFonts w:ascii="宋体" w:hAnsi="宋体"/>
          <w:color w:val="000000"/>
        </w:rPr>
      </w:pPr>
      <w:r>
        <w:rPr>
          <w:rFonts w:hint="eastAsia" w:ascii="宋体" w:hAnsi="宋体"/>
          <w:color w:val="000000"/>
        </w:rPr>
        <w:t>B、细微偏差和修正评审</w:t>
      </w:r>
    </w:p>
    <w:p>
      <w:pPr>
        <w:spacing w:line="360" w:lineRule="auto"/>
        <w:ind w:firstLine="352" w:firstLineChars="168"/>
        <w:rPr>
          <w:rFonts w:ascii="宋体" w:hAnsi="宋体"/>
          <w:color w:val="000000"/>
        </w:rPr>
      </w:pPr>
      <w:r>
        <w:rPr>
          <w:rFonts w:hint="eastAsia" w:ascii="宋体" w:hAnsi="宋体"/>
          <w:color w:val="000000"/>
        </w:rPr>
        <w:t>评标委员会审查投标文件，审核并确认清标结果，包括工程投标报价的校核、审查全部数据计算的正确性、分析各种费用构成的合理性和正确性等内容，看其是否有计算或表达上的错误，投标报价有算术错误的，评标委员会按以下原则对投标报价进行修正。</w:t>
      </w:r>
    </w:p>
    <w:p>
      <w:pPr>
        <w:spacing w:line="360" w:lineRule="auto"/>
        <w:ind w:firstLine="352" w:firstLineChars="168"/>
        <w:rPr>
          <w:rFonts w:ascii="宋体" w:hAnsi="宋体"/>
          <w:color w:val="000000"/>
        </w:rPr>
      </w:pPr>
      <w:r>
        <w:rPr>
          <w:rFonts w:hint="eastAsia" w:ascii="宋体" w:hAnsi="宋体"/>
          <w:color w:val="000000"/>
        </w:rPr>
        <w:t>（1）投标文件中填报的工程量清单报价书中的分部分项工程量清单项目名称、计量单位及工程量与招标人或招标代理机构提供的工程量清单中非实质性内容不一致时，以招标人或招标代理机构提供的内容为准。</w:t>
      </w:r>
    </w:p>
    <w:p>
      <w:pPr>
        <w:spacing w:line="360" w:lineRule="auto"/>
        <w:ind w:firstLine="352" w:firstLineChars="168"/>
        <w:rPr>
          <w:rFonts w:ascii="宋体" w:hAnsi="宋体"/>
          <w:color w:val="000000"/>
        </w:rPr>
      </w:pPr>
      <w:r>
        <w:rPr>
          <w:rFonts w:hint="eastAsia" w:ascii="宋体" w:hAnsi="宋体"/>
          <w:color w:val="000000"/>
        </w:rPr>
        <w:t>（2）投标文件中填报的投标报价、投标工期、工程质量标准前后不一致时，以投标函填报的为准。</w:t>
      </w:r>
    </w:p>
    <w:p>
      <w:pPr>
        <w:spacing w:line="360" w:lineRule="auto"/>
        <w:ind w:firstLine="352" w:firstLineChars="168"/>
        <w:rPr>
          <w:rFonts w:ascii="宋体" w:hAnsi="宋体"/>
          <w:color w:val="000000"/>
        </w:rPr>
      </w:pPr>
      <w:r>
        <w:rPr>
          <w:rFonts w:hint="eastAsia" w:ascii="宋体" w:hAnsi="宋体"/>
          <w:color w:val="000000"/>
        </w:rPr>
        <w:t>（3）供应商填报的材料和设备品牌（商标）、单位、规格型号、产地、技术参数(标准)等与招标文件要求不一致的，以招标文件要求为准进行澄清修正，但所报的单价不变。</w:t>
      </w:r>
    </w:p>
    <w:p>
      <w:pPr>
        <w:spacing w:line="360" w:lineRule="auto"/>
        <w:ind w:firstLine="352" w:firstLineChars="168"/>
        <w:rPr>
          <w:rFonts w:ascii="宋体" w:hAnsi="宋体"/>
          <w:color w:val="000000"/>
        </w:rPr>
      </w:pPr>
      <w:r>
        <w:rPr>
          <w:rFonts w:hint="eastAsia" w:ascii="宋体" w:hAnsi="宋体"/>
          <w:color w:val="000000"/>
        </w:rPr>
        <w:t>（4）工程量清单报价表中，出现综合单价金额和工程量的乘积与合价金额不一致的，以标出的综合单价金额为准，并修改合价金额。但综合单价金额小数点有明显错误的，以标出的合价金额为准，并修改综合单价金额。投标函大写金额与小写金额不一致的，以大写金额为准。</w:t>
      </w:r>
    </w:p>
    <w:p>
      <w:pPr>
        <w:spacing w:line="360" w:lineRule="auto"/>
        <w:ind w:firstLine="352" w:firstLineChars="168"/>
        <w:rPr>
          <w:rFonts w:ascii="宋体" w:hAnsi="宋体"/>
          <w:color w:val="000000"/>
        </w:rPr>
      </w:pPr>
      <w:r>
        <w:rPr>
          <w:rFonts w:hint="eastAsia" w:ascii="宋体" w:hAnsi="宋体"/>
          <w:color w:val="000000"/>
        </w:rPr>
        <w:t>（5）工程量清单报价表中综合单价与工程量清单项目综合单价分析表相对应综合单价不一致时，以工程量清单项目综合单价分析表中标出的综合单价为准。</w:t>
      </w:r>
    </w:p>
    <w:p>
      <w:pPr>
        <w:spacing w:line="360" w:lineRule="auto"/>
        <w:ind w:firstLine="352" w:firstLineChars="168"/>
        <w:rPr>
          <w:rFonts w:ascii="宋体" w:hAnsi="宋体"/>
          <w:color w:val="000000"/>
        </w:rPr>
      </w:pPr>
      <w:r>
        <w:rPr>
          <w:rFonts w:hint="eastAsia" w:ascii="宋体" w:hAnsi="宋体"/>
          <w:color w:val="000000"/>
        </w:rPr>
        <w:t>若投标文件出现细微偏差，供应商应按上述修正原则进行修正，供应商须签章确认。</w:t>
      </w:r>
    </w:p>
    <w:p>
      <w:pPr>
        <w:spacing w:line="360" w:lineRule="auto"/>
        <w:ind w:firstLine="352" w:firstLineChars="168"/>
        <w:rPr>
          <w:rFonts w:ascii="宋体" w:hAnsi="宋体"/>
          <w:color w:val="000000"/>
        </w:rPr>
      </w:pPr>
      <w:r>
        <w:rPr>
          <w:rFonts w:hint="eastAsia" w:ascii="宋体" w:hAnsi="宋体"/>
          <w:color w:val="000000"/>
        </w:rPr>
        <w:t>C、重大偏差的认定，投标文件有下列情形之一的，属于重大偏差，由评标委员会评审后按无效标处理：</w:t>
      </w:r>
    </w:p>
    <w:p>
      <w:pPr>
        <w:spacing w:line="360" w:lineRule="auto"/>
        <w:ind w:firstLine="352" w:firstLineChars="168"/>
        <w:rPr>
          <w:rFonts w:ascii="Courier New" w:hAnsi="宋体"/>
          <w:color w:val="000000"/>
          <w:szCs w:val="21"/>
        </w:rPr>
      </w:pPr>
      <w:r>
        <w:rPr>
          <w:rFonts w:hint="eastAsia" w:ascii="Courier New" w:hAnsi="宋体"/>
          <w:color w:val="000000"/>
          <w:szCs w:val="21"/>
        </w:rPr>
        <w:t>(1)清标结果显示不同供应商的投标文件异常一致或者投标报价呈规律性差异等招投标相关法律法规明确规定为串通投标或弄虚作假或有其他违法行为的；</w:t>
      </w:r>
    </w:p>
    <w:p>
      <w:pPr>
        <w:spacing w:line="360" w:lineRule="auto"/>
        <w:ind w:firstLine="352" w:firstLineChars="168"/>
        <w:rPr>
          <w:rFonts w:ascii="Courier New" w:hAnsi="宋体"/>
          <w:color w:val="000000"/>
          <w:szCs w:val="21"/>
        </w:rPr>
      </w:pPr>
      <w:r>
        <w:rPr>
          <w:rFonts w:hint="eastAsia" w:ascii="Courier New" w:hAnsi="宋体"/>
          <w:color w:val="000000"/>
          <w:szCs w:val="21"/>
        </w:rPr>
        <w:t>(2)未按第八章投标文件格式在规定部位盖章或签章或签字的；未按规定的格式填写，实质性内容不全或关键字迹模糊、无法辨认的；</w:t>
      </w:r>
    </w:p>
    <w:p>
      <w:pPr>
        <w:spacing w:line="360" w:lineRule="auto"/>
        <w:ind w:firstLine="352" w:firstLineChars="168"/>
        <w:rPr>
          <w:rFonts w:ascii="Courier New" w:hAnsi="宋体"/>
          <w:color w:val="000000"/>
          <w:szCs w:val="21"/>
        </w:rPr>
      </w:pPr>
      <w:r>
        <w:rPr>
          <w:rFonts w:hint="eastAsia" w:ascii="Courier New" w:hAnsi="宋体"/>
          <w:color w:val="000000"/>
          <w:szCs w:val="21"/>
        </w:rPr>
        <w:t>(3)供应商递交两份或多份内容不同的投标文件，或在一份投标文件中对同一招标项目报有两个或多个报价，且未声明哪一个有效的。按招标文件规定提交备选投标方案的除外；</w:t>
      </w:r>
    </w:p>
    <w:p>
      <w:pPr>
        <w:spacing w:line="360" w:lineRule="auto"/>
        <w:ind w:firstLine="352" w:firstLineChars="168"/>
        <w:rPr>
          <w:rFonts w:ascii="Courier New" w:hAnsi="宋体"/>
          <w:color w:val="000000"/>
          <w:szCs w:val="21"/>
        </w:rPr>
      </w:pPr>
      <w:r>
        <w:rPr>
          <w:rFonts w:hint="eastAsia" w:ascii="Courier New" w:hAnsi="宋体"/>
          <w:color w:val="000000"/>
          <w:szCs w:val="21"/>
        </w:rPr>
        <w:t>(4)投标文件不符合招标文件规定的报价、工期、质量标准或其它实质性要求；</w:t>
      </w:r>
    </w:p>
    <w:p>
      <w:pPr>
        <w:spacing w:line="360" w:lineRule="auto"/>
        <w:ind w:firstLine="352" w:firstLineChars="168"/>
        <w:rPr>
          <w:rFonts w:ascii="Courier New" w:hAnsi="宋体"/>
          <w:color w:val="000000"/>
          <w:szCs w:val="21"/>
        </w:rPr>
      </w:pPr>
      <w:r>
        <w:rPr>
          <w:rFonts w:hint="eastAsia" w:ascii="Courier New" w:hAnsi="宋体"/>
          <w:color w:val="000000"/>
          <w:szCs w:val="21"/>
        </w:rPr>
        <w:t>(5)投标文件中存在招标人不能接受的其它实质性条件或提供虚假文件；</w:t>
      </w:r>
    </w:p>
    <w:p>
      <w:pPr>
        <w:spacing w:line="360" w:lineRule="auto"/>
        <w:ind w:firstLine="352" w:firstLineChars="168"/>
        <w:rPr>
          <w:rFonts w:ascii="Courier New" w:hAnsi="宋体"/>
          <w:color w:val="000000"/>
          <w:szCs w:val="21"/>
        </w:rPr>
      </w:pPr>
      <w:r>
        <w:rPr>
          <w:rFonts w:hint="eastAsia" w:ascii="Courier New" w:hAnsi="宋体"/>
          <w:color w:val="000000"/>
          <w:szCs w:val="21"/>
        </w:rPr>
        <w:t>(6)电子清单计价文件无法读取或不符合规定格式的；</w:t>
      </w:r>
    </w:p>
    <w:p>
      <w:pPr>
        <w:spacing w:line="360" w:lineRule="auto"/>
        <w:ind w:firstLine="352" w:firstLineChars="168"/>
        <w:rPr>
          <w:rFonts w:ascii="Courier New" w:hAnsi="宋体"/>
          <w:color w:val="000000"/>
          <w:szCs w:val="21"/>
        </w:rPr>
      </w:pPr>
      <w:r>
        <w:rPr>
          <w:rFonts w:hint="eastAsia" w:ascii="Courier New" w:hAnsi="宋体"/>
          <w:color w:val="000000"/>
          <w:szCs w:val="21"/>
        </w:rPr>
        <w:t>(7)投标文件中的其它重大偏差（包括缺项，漏项）：</w:t>
      </w:r>
    </w:p>
    <w:p>
      <w:pPr>
        <w:spacing w:line="360" w:lineRule="auto"/>
        <w:ind w:firstLine="352" w:firstLineChars="168"/>
        <w:rPr>
          <w:rFonts w:ascii="Courier New" w:hAnsi="宋体"/>
          <w:color w:val="000000"/>
          <w:szCs w:val="21"/>
        </w:rPr>
      </w:pPr>
      <w:r>
        <w:rPr>
          <w:rFonts w:hint="eastAsia" w:ascii="Courier New" w:hAnsi="宋体"/>
          <w:color w:val="000000"/>
          <w:szCs w:val="21"/>
        </w:rPr>
        <w:t>①当投标文件中填报的工程量清单报价书中的分部分项、工程项目名称、内容、计量单位或工程量与招标人提供的工程量清单实质性不一致，以致影响评标结果的；</w:t>
      </w:r>
    </w:p>
    <w:p>
      <w:pPr>
        <w:widowControl/>
        <w:spacing w:line="360" w:lineRule="auto"/>
        <w:ind w:firstLine="316" w:firstLineChars="150"/>
        <w:jc w:val="left"/>
        <w:rPr>
          <w:rFonts w:ascii="宋体" w:hAnsi="宋体" w:cs="宋体"/>
          <w:b/>
          <w:color w:val="000000"/>
          <w:kern w:val="0"/>
          <w:szCs w:val="21"/>
        </w:rPr>
      </w:pPr>
      <w:r>
        <w:rPr>
          <w:rFonts w:hint="eastAsia" w:ascii="宋体" w:hAnsi="宋体"/>
          <w:b/>
          <w:color w:val="000000"/>
          <w:szCs w:val="21"/>
        </w:rPr>
        <w:t>②</w:t>
      </w:r>
      <w:r>
        <w:rPr>
          <w:rFonts w:hint="eastAsia" w:ascii="宋体" w:hAnsi="宋体" w:cs="宋体"/>
          <w:b/>
          <w:color w:val="000000"/>
          <w:kern w:val="0"/>
          <w:szCs w:val="21"/>
        </w:rPr>
        <w:t>不可竞争费用中有其中一项降低标准进行竞标的；</w:t>
      </w:r>
    </w:p>
    <w:p>
      <w:pPr>
        <w:spacing w:line="360" w:lineRule="auto"/>
        <w:ind w:firstLine="352" w:firstLineChars="168"/>
        <w:rPr>
          <w:rFonts w:ascii="Courier New" w:hAnsi="宋体"/>
          <w:color w:val="000000"/>
          <w:szCs w:val="21"/>
        </w:rPr>
      </w:pPr>
      <w:r>
        <w:rPr>
          <w:rFonts w:hint="eastAsia" w:ascii="Courier New" w:hAnsi="宋体"/>
          <w:color w:val="000000"/>
          <w:szCs w:val="21"/>
        </w:rPr>
        <w:t>③供应商工费工日单价低于招标文件规定的；</w:t>
      </w:r>
    </w:p>
    <w:p>
      <w:pPr>
        <w:spacing w:line="360" w:lineRule="auto"/>
        <w:ind w:firstLine="352" w:firstLineChars="168"/>
        <w:rPr>
          <w:rFonts w:ascii="Courier New" w:hAnsi="宋体"/>
          <w:color w:val="000000"/>
          <w:szCs w:val="21"/>
        </w:rPr>
      </w:pPr>
      <w:r>
        <w:rPr>
          <w:rFonts w:hint="eastAsia" w:ascii="Courier New" w:hAnsi="宋体"/>
          <w:color w:val="000000"/>
          <w:szCs w:val="21"/>
        </w:rPr>
        <w:t>④投标报价高于或等于控制价的；</w:t>
      </w:r>
    </w:p>
    <w:p>
      <w:pPr>
        <w:spacing w:line="360" w:lineRule="auto"/>
        <w:ind w:firstLine="352" w:firstLineChars="168"/>
        <w:rPr>
          <w:rFonts w:ascii="Courier New" w:hAnsi="宋体"/>
          <w:color w:val="000000"/>
          <w:szCs w:val="21"/>
        </w:rPr>
      </w:pPr>
      <w:r>
        <w:rPr>
          <w:rFonts w:hint="eastAsia" w:ascii="Courier New" w:hAnsi="宋体"/>
          <w:color w:val="000000"/>
          <w:szCs w:val="21"/>
        </w:rPr>
        <w:t>⑤因供应商原因造成投标报价及其综合单价遗漏的工程项目、工程内容、工程数量、费用或计算错误等绝对值累计总额（高估冒算、多报费用不得抵消缺漏费用）占投标报价3%（含）以上者或商务标修正偏差后影响供应商排序的。凡招标文件要求或者工程造价组成应计算的费用而供应商未报，且投标文件未阐明充分理由，并不能提供足够证据者，均视为缺漏项目或费用；</w:t>
      </w:r>
    </w:p>
    <w:p>
      <w:pPr>
        <w:spacing w:line="360" w:lineRule="auto"/>
        <w:ind w:firstLine="352" w:firstLineChars="168"/>
        <w:rPr>
          <w:rFonts w:ascii="Courier New" w:hAnsi="宋体"/>
          <w:color w:val="000000"/>
          <w:szCs w:val="21"/>
        </w:rPr>
      </w:pPr>
      <w:r>
        <w:rPr>
          <w:rFonts w:hint="eastAsia" w:ascii="Courier New" w:hAnsi="宋体"/>
          <w:color w:val="000000"/>
          <w:szCs w:val="21"/>
        </w:rPr>
        <w:t>⑥供应商拒不按照要求对投标文件进行澄清、说明、补正的，或评标委员根据招标文件的规定对投标文件的计算错误进行修正后，供应商不接受修正后的投标报价的；</w:t>
      </w:r>
    </w:p>
    <w:p>
      <w:pPr>
        <w:spacing w:line="360" w:lineRule="auto"/>
        <w:ind w:firstLine="352" w:firstLineChars="168"/>
        <w:rPr>
          <w:rFonts w:ascii="Courier New" w:hAnsi="宋体"/>
          <w:color w:val="000000"/>
          <w:szCs w:val="21"/>
        </w:rPr>
      </w:pPr>
      <w:r>
        <w:rPr>
          <w:rFonts w:hint="eastAsia" w:ascii="Courier New" w:hAnsi="宋体"/>
          <w:color w:val="000000"/>
          <w:szCs w:val="21"/>
        </w:rPr>
        <w:t>⑦投标报价中更改暂列金额或暂估价的；</w:t>
      </w:r>
    </w:p>
    <w:p>
      <w:pPr>
        <w:spacing w:line="360" w:lineRule="auto"/>
        <w:ind w:firstLine="352" w:firstLineChars="168"/>
        <w:rPr>
          <w:rFonts w:ascii="Courier New" w:hAnsi="宋体"/>
          <w:color w:val="000000"/>
          <w:szCs w:val="21"/>
        </w:rPr>
      </w:pPr>
      <w:r>
        <w:rPr>
          <w:rFonts w:hint="eastAsia" w:ascii="Courier New" w:hAnsi="宋体"/>
          <w:color w:val="000000"/>
          <w:szCs w:val="21"/>
        </w:rPr>
        <w:t>⑧供应商商务标中不应出现负值，却有负值出现的；</w:t>
      </w:r>
    </w:p>
    <w:p>
      <w:pPr>
        <w:spacing w:line="360" w:lineRule="auto"/>
        <w:ind w:firstLine="315" w:firstLineChars="150"/>
        <w:rPr>
          <w:rFonts w:ascii="Courier New" w:hAnsi="宋体"/>
          <w:b/>
          <w:color w:val="000000"/>
          <w:szCs w:val="21"/>
        </w:rPr>
      </w:pPr>
      <w:r>
        <w:rPr>
          <w:rFonts w:hint="eastAsia" w:ascii="Courier New" w:hAnsi="宋体"/>
          <w:color w:val="000000"/>
          <w:szCs w:val="21"/>
        </w:rPr>
        <w:t>⑨减少实体材料消耗量指标且不符合计量计价规范或实际情况的</w:t>
      </w:r>
      <w:r>
        <w:rPr>
          <w:rFonts w:hint="eastAsia" w:ascii="Courier New" w:hAnsi="宋体"/>
          <w:color w:val="000000"/>
          <w:sz w:val="24"/>
        </w:rPr>
        <w:t>；</w:t>
      </w:r>
    </w:p>
    <w:p>
      <w:pPr>
        <w:spacing w:line="360" w:lineRule="auto"/>
        <w:ind w:firstLine="352" w:firstLineChars="168"/>
        <w:rPr>
          <w:rFonts w:ascii="Courier New" w:hAnsi="宋体"/>
          <w:color w:val="000000"/>
          <w:szCs w:val="21"/>
        </w:rPr>
      </w:pPr>
      <w:r>
        <w:rPr>
          <w:rFonts w:hint="eastAsia" w:ascii="Courier New" w:hAnsi="宋体"/>
          <w:color w:val="000000"/>
          <w:szCs w:val="21"/>
        </w:rPr>
        <w:t>⑩项目评审或多标段项目标段评审中，多名供应商投标报价规律性集中出现在高价区域，明显与近期类似项目报价情况不一致，以致影响正常评审的，评委会应确定项目投标报价明显缺乏竞争性，宣布流标，同时将异常报价提交监管部门调查；</w:t>
      </w:r>
    </w:p>
    <w:p>
      <w:pPr>
        <w:spacing w:line="360" w:lineRule="auto"/>
        <w:ind w:firstLine="352" w:firstLineChars="168"/>
        <w:rPr>
          <w:rFonts w:ascii="Courier New" w:hAnsi="宋体"/>
          <w:color w:val="000000"/>
          <w:szCs w:val="21"/>
        </w:rPr>
      </w:pPr>
      <w:r>
        <w:rPr>
          <w:rFonts w:ascii="Cambria Math" w:hAnsi="Cambria Math" w:cs="Cambria Math"/>
          <w:color w:val="000000"/>
          <w:szCs w:val="21"/>
        </w:rPr>
        <w:t>⑪</w:t>
      </w:r>
      <w:r>
        <w:rPr>
          <w:rFonts w:hint="eastAsia" w:ascii="Courier New" w:hAnsi="宋体"/>
          <w:color w:val="000000"/>
          <w:szCs w:val="21"/>
        </w:rPr>
        <w:t>投标报价的总人工费与技术标中的劳动力安排计划相比，明显过低的；</w:t>
      </w:r>
    </w:p>
    <w:p>
      <w:pPr>
        <w:spacing w:line="360" w:lineRule="auto"/>
        <w:ind w:firstLine="352" w:firstLineChars="168"/>
        <w:rPr>
          <w:rFonts w:ascii="宋体" w:hAnsi="宋体"/>
          <w:b/>
          <w:color w:val="000000"/>
          <w:szCs w:val="21"/>
        </w:rPr>
      </w:pPr>
      <w:r>
        <w:rPr>
          <w:rFonts w:hint="eastAsia" w:ascii="MS Mincho" w:hAnsi="MS Mincho" w:eastAsia="MS Mincho" w:cs="MS Mincho"/>
          <w:color w:val="000000"/>
          <w:szCs w:val="21"/>
        </w:rPr>
        <w:t>⑫</w:t>
      </w:r>
      <w:r>
        <w:rPr>
          <w:rFonts w:hint="eastAsia" w:ascii="Courier New" w:hAnsi="宋体"/>
          <w:color w:val="000000"/>
          <w:szCs w:val="21"/>
        </w:rPr>
        <w:t>法律、法规规定的其它情形。</w:t>
      </w:r>
    </w:p>
    <w:p>
      <w:pPr>
        <w:spacing w:line="400" w:lineRule="exact"/>
        <w:ind w:firstLine="353"/>
        <w:rPr>
          <w:rFonts w:ascii="宋体" w:hAnsi="宋体"/>
          <w:color w:val="000000"/>
          <w:szCs w:val="22"/>
        </w:rPr>
      </w:pPr>
      <w:r>
        <w:rPr>
          <w:rFonts w:hint="eastAsia" w:ascii="宋体" w:hAnsi="宋体"/>
          <w:color w:val="000000"/>
          <w:szCs w:val="22"/>
        </w:rPr>
        <w:t>3.3.2 商务标详细评审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3.3.2.1 报价规范性评审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对投标报价中分部分项工程综合单价、主要材料价格、人工费（含工日数量及工日单价）、机械费以及规费等进行规范性评审，对明显相互冲突、自相矛盾或不合理的，未按照工程量清单计价规范要求计价的，经评审委员会做重点评审后，可作为无效投标。（如：投标报价中分部分项清单综合单价低于主材价格等情况，做重点评审后可作为无效投标）。</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3.3.2.2 不平衡报价评审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不平衡报价评审及结算按以下规定进行：</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①对于投标报价中的综合单价明显高出控制价单价或与控制价单价相比明显降幅过大的情况，评委会重点评审后可将其作为恶意不平衡报价进行评审，其商务标作无效标处理。</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②供应商应对控制价进行复核，认为控制价及措施费有误的，应在开标前规定疑问提交时限内提出。供应商未提出相关书面异议的，视同认可控制价所有子目组价合理。对于投标报价明显高出控制价单价的情况，评委会重点评审后可将其作为恶意不平衡报价进行评审，其商务标作无效投标处理。</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③对于分部分项综合单价投标报价高于控制价相应子目综合单价的清单项目，工程量增加幅度超过本项目工程数量15%（不含15%）的，超过15%的增加部分工程量相应综合单价按控制价相应子目综合单价与投标总价降幅同比下浮标准，作为结算的依据。</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④对于分部分项综合单价投标报价降幅低于控制价相应子目综合单价30%以上的清单项目，工程量减少幅度超过本项目工程数量15%（不含15%）的，超过15%的减少部分工程量相应综合单价按控制价相应子目综合单价与投标总价降幅同比下浮标准，作为结算的依据。</w:t>
      </w:r>
    </w:p>
    <w:p>
      <w:pPr>
        <w:keepNext/>
        <w:keepLines/>
        <w:spacing w:before="260" w:after="260" w:line="415" w:lineRule="auto"/>
        <w:outlineLvl w:val="2"/>
        <w:rPr>
          <w:b/>
          <w:bCs/>
          <w:color w:val="000000"/>
          <w:sz w:val="32"/>
          <w:szCs w:val="32"/>
        </w:rPr>
      </w:pPr>
      <w:bookmarkStart w:id="121" w:name="_Toc439064250"/>
      <w:bookmarkStart w:id="122" w:name="_Toc532910222"/>
      <w:bookmarkStart w:id="123" w:name="_Toc532910501"/>
      <w:r>
        <w:rPr>
          <w:rFonts w:hint="eastAsia"/>
          <w:b/>
          <w:bCs/>
          <w:color w:val="000000"/>
          <w:sz w:val="32"/>
          <w:szCs w:val="32"/>
        </w:rPr>
        <w:t>3.4 技术标评审</w:t>
      </w:r>
      <w:bookmarkEnd w:id="121"/>
      <w:bookmarkEnd w:id="122"/>
      <w:bookmarkEnd w:id="123"/>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由评标委员会对投标报价符合要求供应商的技术标书进行符合性评审，评标委员会主要按招标文件的要求，主要对项目施工组织设计，重点专业工程施工技术方案以及拟分包情况等以下几个方面对供应商的技术标进行符合性评审，评审结论采用合格制。对否定的技术标，评委要提出充足的否定理由，并填写在技术标评标记录上。</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3.4.1 施工组织设计：</w:t>
      </w:r>
    </w:p>
    <w:p>
      <w:pPr>
        <w:spacing w:line="400" w:lineRule="exact"/>
        <w:ind w:firstLine="420" w:firstLineChars="200"/>
        <w:rPr>
          <w:rFonts w:ascii="宋体" w:hAnsi="宋体"/>
          <w:color w:val="000000"/>
          <w:szCs w:val="22"/>
        </w:rPr>
      </w:pPr>
      <w:r>
        <w:rPr>
          <w:rFonts w:hint="eastAsia" w:ascii="宋体" w:hAnsi="宋体"/>
          <w:color w:val="000000"/>
          <w:szCs w:val="22"/>
        </w:rPr>
        <w:t>（1）主要施工方法：各主要分部施工方法符合项目实际，须有详尽的施工技术方案，工艺先进、方法科学合理、可行，能指导具体施工并确保安全；</w:t>
      </w:r>
    </w:p>
    <w:p>
      <w:pPr>
        <w:spacing w:line="400" w:lineRule="exact"/>
        <w:ind w:firstLine="420" w:firstLineChars="200"/>
        <w:rPr>
          <w:rFonts w:ascii="宋体" w:hAnsi="宋体"/>
          <w:color w:val="000000"/>
          <w:szCs w:val="22"/>
        </w:rPr>
      </w:pPr>
      <w:r>
        <w:rPr>
          <w:rFonts w:hint="eastAsia" w:ascii="宋体" w:hAnsi="宋体"/>
          <w:color w:val="000000"/>
          <w:szCs w:val="22"/>
        </w:rPr>
        <w:t>（2）拟投入的主要物资计划：投入的施工材料有详细计划且计划周密，数量、选型配置、进场数量、时间安排合理，满足施工需要；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（3）拟投入的主要施工机械、设备计划：投入的施工机械、设备、机具有详细计划且计划周密，设备数量、选型配置、进场数量、时间安排合理，满足施工需要；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（4）劳动力安排计划：各主要施工工序应有详细周密的劳动力安排计划明细，有各工种劳动力安排计划，劳动力投入经济合理，满足施工需要；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5）确保工程质量的技术组织措施：施工项目应有专门的质量技术管理班子和制度，且人员配备合理，制度健全。主要工序应有质量技术保证措施和手段，自控体系完整，能有效保证技术质量，达到承诺的质量标准；</w:t>
      </w:r>
    </w:p>
    <w:p>
      <w:pPr>
        <w:spacing w:line="400" w:lineRule="exact"/>
        <w:ind w:firstLine="420" w:firstLineChars="200"/>
        <w:rPr>
          <w:rFonts w:ascii="宋体" w:hAnsi="宋体"/>
          <w:color w:val="000000"/>
          <w:szCs w:val="22"/>
        </w:rPr>
      </w:pPr>
      <w:r>
        <w:rPr>
          <w:rFonts w:hint="eastAsia" w:ascii="宋体" w:hAnsi="宋体"/>
          <w:color w:val="000000"/>
          <w:szCs w:val="22"/>
        </w:rPr>
        <w:t>（6）确保安全生产的技术组织措施 ：施工项目应有专门的安全管理人员和制度，且人员配备合理，制度健全，各道工序安全技术措施针对性强，符合实际且满足有关安全技术标准要求。现场防火、社会治安安全措施得力；</w:t>
      </w:r>
    </w:p>
    <w:p>
      <w:pPr>
        <w:spacing w:line="400" w:lineRule="exact"/>
        <w:ind w:firstLine="420" w:firstLineChars="200"/>
        <w:rPr>
          <w:rFonts w:ascii="宋体" w:hAnsi="宋体"/>
          <w:color w:val="000000"/>
          <w:szCs w:val="22"/>
        </w:rPr>
      </w:pPr>
      <w:r>
        <w:rPr>
          <w:rFonts w:hint="eastAsia" w:ascii="宋体" w:hAnsi="宋体"/>
          <w:color w:val="000000"/>
          <w:szCs w:val="22"/>
        </w:rPr>
        <w:t>（7）确保工期的技术组织措施：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pPr>
        <w:spacing w:line="400" w:lineRule="exact"/>
        <w:ind w:firstLine="420" w:firstLineChars="200"/>
        <w:rPr>
          <w:rFonts w:ascii="宋体" w:hAnsi="宋体"/>
          <w:color w:val="000000"/>
          <w:szCs w:val="22"/>
        </w:rPr>
      </w:pPr>
      <w:r>
        <w:rPr>
          <w:rFonts w:hint="eastAsia" w:ascii="宋体" w:hAnsi="宋体"/>
          <w:color w:val="000000"/>
          <w:szCs w:val="22"/>
        </w:rPr>
        <w:t>（8）确保文明施工的技术组织措施：针对本工程项目特点，应有现场文明施工计划，环境保护措施，且计划措施内容应达到“安全文明示范工地”标准。各项措施周全、具体、有效。有具体实现现场文明施工目标的承诺；</w:t>
      </w:r>
    </w:p>
    <w:p>
      <w:pPr>
        <w:spacing w:line="400" w:lineRule="exact"/>
        <w:ind w:firstLine="420" w:firstLineChars="200"/>
        <w:rPr>
          <w:rFonts w:ascii="宋体" w:hAnsi="宋体"/>
          <w:color w:val="000000"/>
          <w:szCs w:val="22"/>
        </w:rPr>
      </w:pPr>
      <w:r>
        <w:rPr>
          <w:rFonts w:hint="eastAsia" w:ascii="宋体" w:hAnsi="宋体"/>
          <w:color w:val="000000"/>
          <w:szCs w:val="22"/>
        </w:rPr>
        <w:t>（9）工程施工的重点和难点及保证措施是否正确（须与供应商须知前附表重难点相对应，可以根据供应商理解另行增加内容）；</w:t>
      </w:r>
    </w:p>
    <w:p>
      <w:pPr>
        <w:spacing w:line="400" w:lineRule="exact"/>
        <w:ind w:firstLine="420" w:firstLineChars="200"/>
        <w:rPr>
          <w:rFonts w:ascii="宋体" w:hAnsi="宋体"/>
          <w:color w:val="000000"/>
          <w:szCs w:val="22"/>
        </w:rPr>
      </w:pPr>
      <w:r>
        <w:rPr>
          <w:rFonts w:hint="eastAsia" w:ascii="宋体" w:hAnsi="宋体"/>
          <w:color w:val="000000"/>
          <w:szCs w:val="22"/>
        </w:rPr>
        <w:t>（10）施工总平面布置图 ：应有施工总平面布置图，安排科学合理，符合本项目施工实际要求；</w:t>
      </w:r>
    </w:p>
    <w:p>
      <w:pPr>
        <w:spacing w:line="400" w:lineRule="exact"/>
        <w:ind w:firstLine="420" w:firstLineChars="200"/>
        <w:rPr>
          <w:rFonts w:ascii="宋体" w:hAnsi="宋体"/>
          <w:color w:val="000000"/>
          <w:szCs w:val="22"/>
        </w:rPr>
      </w:pPr>
      <w:r>
        <w:rPr>
          <w:rFonts w:hint="eastAsia" w:ascii="宋体" w:hAnsi="宋体"/>
          <w:color w:val="000000"/>
          <w:szCs w:val="22"/>
        </w:rPr>
        <w:t>（11）施工组织设计的针对性、完整性。</w:t>
      </w:r>
    </w:p>
    <w:p>
      <w:pPr>
        <w:spacing w:line="400" w:lineRule="exact"/>
        <w:ind w:firstLine="420" w:firstLineChars="200"/>
        <w:rPr>
          <w:rFonts w:ascii="宋体" w:hAnsi="宋体"/>
          <w:color w:val="000000"/>
          <w:szCs w:val="22"/>
        </w:rPr>
      </w:pPr>
      <w:r>
        <w:rPr>
          <w:rFonts w:hint="eastAsia" w:ascii="宋体" w:hAnsi="宋体" w:cs="Courier New"/>
          <w:bCs/>
          <w:color w:val="000000"/>
          <w:szCs w:val="21"/>
        </w:rPr>
        <w:t xml:space="preserve">3.4.2 </w:t>
      </w:r>
      <w:r>
        <w:rPr>
          <w:rFonts w:hint="eastAsia" w:ascii="宋体" w:hAnsi="宋体"/>
          <w:color w:val="000000"/>
          <w:szCs w:val="22"/>
        </w:rPr>
        <w:t>其它内容（如有）是否响应招标文件。</w:t>
      </w:r>
    </w:p>
    <w:p>
      <w:pPr>
        <w:spacing w:line="400" w:lineRule="exact"/>
        <w:ind w:firstLine="420" w:firstLineChars="200"/>
        <w:rPr>
          <w:rFonts w:ascii="宋体" w:hAnsi="宋体"/>
          <w:color w:val="000000"/>
          <w:szCs w:val="22"/>
        </w:rPr>
      </w:pPr>
      <w:r>
        <w:rPr>
          <w:rFonts w:hint="eastAsia" w:ascii="宋体" w:hAnsi="宋体"/>
          <w:color w:val="000000"/>
          <w:szCs w:val="22"/>
        </w:rPr>
        <w:t>评审时，应结合本工程特点及招标文件的要求对投标单位编制的技术标逐项评定，查看是否科学、合理、可行。如发现投标文件内容与招标文件规定内容存在偏差，应要求供应商澄清、说明或补正。</w:t>
      </w:r>
    </w:p>
    <w:p>
      <w:pPr>
        <w:spacing w:line="360" w:lineRule="auto"/>
        <w:ind w:firstLine="352" w:firstLineChars="168"/>
        <w:rPr>
          <w:rFonts w:ascii="宋体" w:hAnsi="宋体"/>
          <w:color w:val="000000"/>
          <w:szCs w:val="22"/>
        </w:rPr>
      </w:pPr>
      <w:r>
        <w:rPr>
          <w:rFonts w:hint="eastAsia" w:ascii="宋体" w:hAnsi="宋体" w:cs="Courier New"/>
          <w:bCs/>
          <w:color w:val="000000"/>
          <w:szCs w:val="21"/>
        </w:rPr>
        <w:t>3.4.3</w:t>
      </w:r>
      <w:r>
        <w:rPr>
          <w:rFonts w:hint="eastAsia" w:ascii="宋体" w:hAnsi="宋体"/>
          <w:color w:val="000000"/>
          <w:szCs w:val="22"/>
        </w:rPr>
        <w:t xml:space="preserve"> 技术标无效判定</w:t>
      </w:r>
    </w:p>
    <w:p>
      <w:pPr>
        <w:spacing w:line="400" w:lineRule="exact"/>
        <w:ind w:firstLine="420" w:firstLineChars="200"/>
        <w:rPr>
          <w:rFonts w:ascii="宋体" w:hAnsi="宋体"/>
          <w:color w:val="000000"/>
          <w:szCs w:val="22"/>
        </w:rPr>
      </w:pPr>
      <w:r>
        <w:rPr>
          <w:rFonts w:hint="eastAsia" w:ascii="宋体" w:hAnsi="宋体"/>
          <w:color w:val="000000"/>
          <w:szCs w:val="22"/>
        </w:rPr>
        <w:t>供应商有以下情形之一的，经评标委员会评审后其技术标作无效判定：</w:t>
      </w:r>
    </w:p>
    <w:p>
      <w:pPr>
        <w:spacing w:line="400" w:lineRule="exact"/>
        <w:ind w:firstLine="420" w:firstLineChars="200"/>
        <w:rPr>
          <w:rFonts w:ascii="宋体" w:hAnsi="宋体"/>
          <w:color w:val="000000"/>
          <w:szCs w:val="22"/>
        </w:rPr>
      </w:pPr>
      <w:r>
        <w:rPr>
          <w:rFonts w:hint="eastAsia" w:ascii="宋体" w:hAnsi="宋体"/>
          <w:color w:val="000000"/>
          <w:szCs w:val="22"/>
        </w:rPr>
        <w:t>（1）串通投标或弄虚作假或有其他违法行为的。</w:t>
      </w:r>
    </w:p>
    <w:p>
      <w:pPr>
        <w:spacing w:line="400" w:lineRule="exact"/>
        <w:ind w:firstLine="420" w:firstLineChars="200"/>
        <w:rPr>
          <w:rFonts w:ascii="宋体" w:hAnsi="宋体"/>
          <w:color w:val="000000"/>
          <w:szCs w:val="22"/>
        </w:rPr>
      </w:pPr>
      <w:r>
        <w:rPr>
          <w:rFonts w:hint="eastAsia" w:ascii="宋体" w:hAnsi="宋体"/>
          <w:color w:val="000000"/>
          <w:szCs w:val="22"/>
        </w:rPr>
        <w:t>（2）工期、质量标准、技术规格、施工方案评审文件或其它实质性要求不能满足招标文件要求,或作出的承诺与招标文件中要求的相关承诺条款实质性不相符的。</w:t>
      </w:r>
    </w:p>
    <w:p>
      <w:pPr>
        <w:spacing w:line="400" w:lineRule="exact"/>
        <w:ind w:firstLine="420" w:firstLineChars="200"/>
        <w:rPr>
          <w:rFonts w:ascii="宋体" w:hAnsi="宋体"/>
          <w:color w:val="000000"/>
          <w:szCs w:val="22"/>
        </w:rPr>
      </w:pPr>
      <w:r>
        <w:rPr>
          <w:rFonts w:hint="eastAsia" w:ascii="宋体" w:hAnsi="宋体"/>
          <w:color w:val="000000"/>
          <w:szCs w:val="22"/>
        </w:rPr>
        <w:t>（3）未按规定的格式填写，实质性内容不全或关键字迹模糊、无法辨认的。</w:t>
      </w:r>
    </w:p>
    <w:p>
      <w:pPr>
        <w:spacing w:line="400" w:lineRule="exact"/>
        <w:ind w:firstLine="420" w:firstLineChars="200"/>
        <w:rPr>
          <w:rFonts w:ascii="宋体" w:hAnsi="宋体"/>
          <w:color w:val="000000"/>
          <w:szCs w:val="22"/>
        </w:rPr>
      </w:pPr>
      <w:r>
        <w:rPr>
          <w:rFonts w:hint="eastAsia" w:ascii="宋体" w:hAnsi="宋体"/>
          <w:color w:val="000000"/>
          <w:szCs w:val="22"/>
        </w:rPr>
        <w:t>（4）供应商拒不按照要求对投标文件进行澄清、说明、补正的。</w:t>
      </w:r>
    </w:p>
    <w:p>
      <w:pPr>
        <w:spacing w:line="400" w:lineRule="exact"/>
        <w:ind w:firstLine="420" w:firstLineChars="200"/>
        <w:rPr>
          <w:rFonts w:ascii="宋体" w:hAnsi="宋体"/>
          <w:color w:val="000000"/>
          <w:szCs w:val="22"/>
        </w:rPr>
      </w:pPr>
      <w:r>
        <w:rPr>
          <w:rFonts w:hint="eastAsia" w:ascii="宋体" w:hAnsi="宋体"/>
          <w:color w:val="000000"/>
          <w:szCs w:val="22"/>
        </w:rPr>
        <w:t>（5）投标文件中存在招标人不能接受的其它实质性条件。</w:t>
      </w:r>
    </w:p>
    <w:p>
      <w:pPr>
        <w:spacing w:line="400" w:lineRule="exact"/>
        <w:ind w:firstLine="420" w:firstLineChars="200"/>
        <w:rPr>
          <w:rFonts w:ascii="宋体" w:hAnsi="宋体"/>
          <w:color w:val="000000"/>
          <w:szCs w:val="22"/>
        </w:rPr>
      </w:pPr>
      <w:r>
        <w:rPr>
          <w:rFonts w:hint="eastAsia" w:ascii="宋体" w:hAnsi="宋体"/>
          <w:color w:val="000000"/>
          <w:szCs w:val="22"/>
        </w:rPr>
        <w:t>（6）技术标要求必过条款供应商投标文件相关部分经评委会审核不通过的。</w:t>
      </w:r>
    </w:p>
    <w:p>
      <w:pPr>
        <w:spacing w:line="400" w:lineRule="exact"/>
        <w:ind w:firstLine="420" w:firstLineChars="200"/>
        <w:rPr>
          <w:rFonts w:ascii="宋体" w:hAnsi="宋体"/>
          <w:color w:val="000000"/>
          <w:szCs w:val="22"/>
        </w:rPr>
      </w:pPr>
      <w:r>
        <w:rPr>
          <w:rFonts w:hint="eastAsia" w:ascii="宋体" w:hAnsi="宋体"/>
          <w:color w:val="000000"/>
          <w:szCs w:val="22"/>
        </w:rPr>
        <w:t>（7）供应商技术标通过条款总数不满足招标文件要求的。</w:t>
      </w:r>
    </w:p>
    <w:p>
      <w:pPr>
        <w:spacing w:line="400" w:lineRule="exact"/>
        <w:ind w:firstLine="420" w:firstLineChars="200"/>
        <w:rPr>
          <w:rFonts w:ascii="宋体" w:hAnsi="宋体"/>
          <w:color w:val="000000"/>
          <w:szCs w:val="22"/>
        </w:rPr>
      </w:pPr>
      <w:r>
        <w:rPr>
          <w:rFonts w:hint="eastAsia" w:ascii="宋体" w:hAnsi="宋体"/>
          <w:color w:val="000000"/>
          <w:szCs w:val="22"/>
        </w:rPr>
        <w:t>（8）法律、法规规定的其它情形。</w:t>
      </w:r>
    </w:p>
    <w:p>
      <w:pPr>
        <w:keepNext/>
        <w:keepLines/>
        <w:spacing w:before="260" w:after="260" w:line="415" w:lineRule="auto"/>
        <w:outlineLvl w:val="2"/>
        <w:rPr>
          <w:b/>
          <w:bCs/>
          <w:color w:val="000000"/>
          <w:sz w:val="32"/>
          <w:szCs w:val="32"/>
        </w:rPr>
      </w:pPr>
      <w:bookmarkStart w:id="124" w:name="_Toc439064251"/>
      <w:bookmarkStart w:id="125" w:name="_Toc532910223"/>
      <w:bookmarkStart w:id="126" w:name="_Toc532910502"/>
      <w:r>
        <w:rPr>
          <w:rFonts w:hint="eastAsia"/>
          <w:b/>
          <w:bCs/>
          <w:color w:val="000000"/>
          <w:sz w:val="32"/>
          <w:szCs w:val="32"/>
        </w:rPr>
        <w:t>3.5 投标文件的澄清和补正</w:t>
      </w:r>
      <w:bookmarkEnd w:id="124"/>
      <w:bookmarkEnd w:id="125"/>
      <w:bookmarkEnd w:id="126"/>
    </w:p>
    <w:p>
      <w:pPr>
        <w:spacing w:line="400" w:lineRule="exact"/>
        <w:ind w:firstLine="420" w:firstLineChars="200"/>
        <w:rPr>
          <w:rFonts w:ascii="宋体" w:hAnsi="宋体"/>
          <w:color w:val="000000"/>
          <w:szCs w:val="22"/>
        </w:rPr>
      </w:pPr>
      <w:r>
        <w:rPr>
          <w:rFonts w:hint="eastAsia" w:ascii="宋体" w:hAnsi="宋体"/>
          <w:color w:val="000000"/>
          <w:szCs w:val="22"/>
        </w:rPr>
        <w:t>3.5.1 在评标过程中，评标委员会可以要求供应商对所提交的投标文件中不明确的内容进行澄清或说明，或者对细微偏差进行补正。评标委员会不接受供应商主动提出的澄清、说明或补正。</w:t>
      </w:r>
    </w:p>
    <w:p>
      <w:pPr>
        <w:spacing w:line="400" w:lineRule="exact"/>
        <w:ind w:firstLine="420" w:firstLineChars="200"/>
        <w:rPr>
          <w:rFonts w:ascii="宋体" w:hAnsi="宋体"/>
          <w:color w:val="000000"/>
          <w:szCs w:val="22"/>
        </w:rPr>
      </w:pPr>
      <w:r>
        <w:rPr>
          <w:rFonts w:hint="eastAsia" w:ascii="宋体" w:hAnsi="宋体"/>
          <w:color w:val="000000"/>
          <w:szCs w:val="22"/>
        </w:rPr>
        <w:t>3.5.2 供应商必须在评标委员会规定合理时间内将澄清、说明或补正内容提交评委会，评委会将对澄清、说明或补正内容评审后决定是否符合要求并现场告知。澄清时间自评委会要求时间起最多不超过30分钟（具体时间根据评委会要求确定）。在规定时间内未按评委会要求进行澄清、说明或补正内容的视同供应商放弃澄清、说明或补正内容权利，评委会可按对供应商不利的解释去进行判定。</w:t>
      </w:r>
    </w:p>
    <w:p>
      <w:pPr>
        <w:spacing w:line="400" w:lineRule="exact"/>
        <w:ind w:firstLine="420" w:firstLineChars="200"/>
        <w:rPr>
          <w:rFonts w:ascii="宋体" w:hAnsi="宋体"/>
          <w:color w:val="000000"/>
          <w:szCs w:val="22"/>
        </w:rPr>
      </w:pPr>
      <w:r>
        <w:rPr>
          <w:rFonts w:hint="eastAsia" w:ascii="宋体" w:hAnsi="宋体"/>
          <w:color w:val="000000"/>
          <w:szCs w:val="22"/>
        </w:rPr>
        <w:t>3.5.3 澄清、说明和补正不得改变投标文件的实质性内容（算术性错误修正的除外），供应商的澄清、说明和补正属于投标文件的组成部分。</w:t>
      </w:r>
    </w:p>
    <w:p>
      <w:pPr>
        <w:spacing w:line="400" w:lineRule="exact"/>
        <w:ind w:firstLine="420" w:firstLineChars="200"/>
        <w:rPr>
          <w:rFonts w:ascii="宋体" w:hAnsi="宋体"/>
          <w:color w:val="000000"/>
          <w:szCs w:val="22"/>
        </w:rPr>
      </w:pPr>
      <w:r>
        <w:rPr>
          <w:rFonts w:hint="eastAsia" w:ascii="宋体" w:hAnsi="宋体"/>
          <w:color w:val="000000"/>
          <w:szCs w:val="22"/>
        </w:rPr>
        <w:t>3.5.4 评标委员会对供应商提交的澄清、说明或补正有疑问的，可以要求供应商进一步澄清、说明或补正，直至满足评标委员会的要求。</w:t>
      </w:r>
    </w:p>
    <w:p>
      <w:pPr>
        <w:keepNext/>
        <w:keepLines/>
        <w:spacing w:before="260" w:after="260" w:line="415" w:lineRule="auto"/>
        <w:outlineLvl w:val="2"/>
        <w:rPr>
          <w:b/>
          <w:bCs/>
          <w:color w:val="000000"/>
          <w:sz w:val="32"/>
          <w:szCs w:val="32"/>
        </w:rPr>
      </w:pPr>
      <w:bookmarkStart w:id="127" w:name="_Toc439064252"/>
      <w:bookmarkStart w:id="128" w:name="_Toc532910224"/>
      <w:bookmarkStart w:id="129" w:name="_Toc532910503"/>
      <w:r>
        <w:rPr>
          <w:rFonts w:hint="eastAsia"/>
          <w:b/>
          <w:bCs/>
          <w:color w:val="000000"/>
          <w:sz w:val="32"/>
          <w:szCs w:val="32"/>
        </w:rPr>
        <w:t>3.6 评标结果</w:t>
      </w:r>
      <w:bookmarkEnd w:id="127"/>
      <w:bookmarkEnd w:id="128"/>
      <w:bookmarkEnd w:id="129"/>
    </w:p>
    <w:p>
      <w:pPr>
        <w:spacing w:line="400" w:lineRule="exact"/>
        <w:ind w:firstLine="420" w:firstLineChars="200"/>
        <w:rPr>
          <w:rFonts w:ascii="宋体" w:hAnsi="宋体"/>
          <w:color w:val="000000"/>
          <w:szCs w:val="22"/>
        </w:rPr>
      </w:pPr>
      <w:r>
        <w:rPr>
          <w:rFonts w:hint="eastAsia" w:ascii="宋体" w:hAnsi="宋体"/>
          <w:color w:val="000000"/>
          <w:szCs w:val="22"/>
        </w:rPr>
        <w:t>3.6.1 除第二章供应商须知前附表授权直接确定中标人外，评标委员会按照经评审的价格由低到高的顺序推荐中标候选人。</w:t>
      </w:r>
    </w:p>
    <w:p>
      <w:pPr>
        <w:spacing w:line="400" w:lineRule="exact"/>
        <w:ind w:firstLine="420" w:firstLineChars="200"/>
        <w:rPr>
          <w:rFonts w:ascii="宋体" w:hAnsi="宋体"/>
          <w:color w:val="000000"/>
          <w:szCs w:val="21"/>
        </w:rPr>
      </w:pPr>
      <w:r>
        <w:rPr>
          <w:rFonts w:hint="eastAsia" w:ascii="宋体" w:hAnsi="宋体"/>
          <w:color w:val="000000"/>
          <w:szCs w:val="21"/>
        </w:rPr>
        <w:t>3.6.2 评标委员会完成评标后，应当向招标人提交评标报告。评标报告应当如实记载以下内容：</w:t>
      </w:r>
    </w:p>
    <w:p>
      <w:pPr>
        <w:spacing w:line="400" w:lineRule="exact"/>
        <w:ind w:firstLine="420" w:firstLineChars="200"/>
        <w:rPr>
          <w:rFonts w:ascii="宋体" w:hAnsi="宋体"/>
          <w:color w:val="000000"/>
          <w:szCs w:val="21"/>
        </w:rPr>
      </w:pPr>
      <w:r>
        <w:rPr>
          <w:rFonts w:hint="eastAsia" w:ascii="宋体" w:hAnsi="宋体"/>
          <w:color w:val="000000"/>
          <w:szCs w:val="21"/>
        </w:rPr>
        <w:t>(1)基本情况和数据表。</w:t>
      </w:r>
    </w:p>
    <w:p>
      <w:pPr>
        <w:spacing w:line="400" w:lineRule="exact"/>
        <w:ind w:firstLine="420" w:firstLineChars="200"/>
        <w:rPr>
          <w:rFonts w:ascii="宋体" w:hAnsi="宋体"/>
          <w:color w:val="000000"/>
          <w:szCs w:val="21"/>
        </w:rPr>
      </w:pPr>
      <w:r>
        <w:rPr>
          <w:rFonts w:hint="eastAsia" w:ascii="宋体" w:hAnsi="宋体"/>
          <w:color w:val="000000"/>
          <w:szCs w:val="21"/>
        </w:rPr>
        <w:t>(2)评标委员会成员名单。</w:t>
      </w:r>
    </w:p>
    <w:p>
      <w:pPr>
        <w:spacing w:line="400" w:lineRule="exact"/>
        <w:ind w:firstLine="420" w:firstLineChars="200"/>
        <w:rPr>
          <w:rFonts w:ascii="宋体" w:hAnsi="宋体"/>
          <w:color w:val="000000"/>
          <w:szCs w:val="21"/>
        </w:rPr>
      </w:pPr>
      <w:r>
        <w:rPr>
          <w:rFonts w:hint="eastAsia" w:ascii="宋体" w:hAnsi="宋体"/>
          <w:color w:val="000000"/>
          <w:szCs w:val="21"/>
        </w:rPr>
        <w:t>(3)开标记录。</w:t>
      </w:r>
    </w:p>
    <w:p>
      <w:pPr>
        <w:spacing w:line="400" w:lineRule="exact"/>
        <w:ind w:firstLine="420" w:firstLineChars="200"/>
        <w:rPr>
          <w:rFonts w:ascii="宋体" w:hAnsi="宋体"/>
          <w:color w:val="000000"/>
          <w:szCs w:val="21"/>
        </w:rPr>
      </w:pPr>
      <w:r>
        <w:rPr>
          <w:rFonts w:hint="eastAsia" w:ascii="宋体" w:hAnsi="宋体"/>
          <w:color w:val="000000"/>
          <w:szCs w:val="21"/>
        </w:rPr>
        <w:t>(4)符合要求的供应商一览表。</w:t>
      </w:r>
    </w:p>
    <w:p>
      <w:pPr>
        <w:spacing w:line="400" w:lineRule="exact"/>
        <w:ind w:firstLine="420" w:firstLineChars="200"/>
        <w:rPr>
          <w:rFonts w:ascii="宋体" w:hAnsi="宋体"/>
          <w:color w:val="000000"/>
          <w:szCs w:val="21"/>
        </w:rPr>
      </w:pPr>
      <w:r>
        <w:rPr>
          <w:rFonts w:hint="eastAsia" w:ascii="宋体" w:hAnsi="宋体"/>
          <w:color w:val="000000"/>
          <w:szCs w:val="21"/>
        </w:rPr>
        <w:t>(5)无效标情况说明。</w:t>
      </w:r>
    </w:p>
    <w:p>
      <w:pPr>
        <w:spacing w:line="400" w:lineRule="exact"/>
        <w:ind w:firstLine="420" w:firstLineChars="200"/>
        <w:rPr>
          <w:rFonts w:ascii="宋体" w:hAnsi="宋体"/>
          <w:color w:val="000000"/>
          <w:szCs w:val="21"/>
        </w:rPr>
      </w:pPr>
      <w:r>
        <w:rPr>
          <w:rFonts w:hint="eastAsia" w:ascii="宋体" w:hAnsi="宋体"/>
          <w:color w:val="000000"/>
          <w:szCs w:val="21"/>
        </w:rPr>
        <w:t>(6)评标标准、评标方法或者评标因素一览表。</w:t>
      </w:r>
    </w:p>
    <w:p>
      <w:pPr>
        <w:spacing w:line="400" w:lineRule="exact"/>
        <w:ind w:firstLine="420" w:firstLineChars="200"/>
        <w:rPr>
          <w:rFonts w:ascii="宋体" w:hAnsi="宋体"/>
          <w:color w:val="000000"/>
          <w:szCs w:val="21"/>
        </w:rPr>
      </w:pPr>
      <w:r>
        <w:rPr>
          <w:rFonts w:hint="eastAsia" w:ascii="宋体" w:hAnsi="宋体"/>
          <w:color w:val="000000"/>
          <w:szCs w:val="21"/>
        </w:rPr>
        <w:t>(7)经评审的价格一览表。</w:t>
      </w:r>
    </w:p>
    <w:p>
      <w:pPr>
        <w:spacing w:line="400" w:lineRule="exact"/>
        <w:ind w:firstLine="420" w:firstLineChars="200"/>
        <w:rPr>
          <w:rFonts w:ascii="宋体" w:hAnsi="宋体"/>
          <w:color w:val="000000"/>
          <w:szCs w:val="21"/>
        </w:rPr>
      </w:pPr>
      <w:r>
        <w:rPr>
          <w:rFonts w:hint="eastAsia" w:ascii="宋体" w:hAnsi="宋体"/>
          <w:color w:val="000000"/>
          <w:szCs w:val="21"/>
        </w:rPr>
        <w:t>(8)经评审的供应商排序。</w:t>
      </w:r>
    </w:p>
    <w:p>
      <w:pPr>
        <w:spacing w:line="400" w:lineRule="exact"/>
        <w:ind w:firstLine="420" w:firstLineChars="200"/>
        <w:rPr>
          <w:rFonts w:ascii="宋体" w:hAnsi="宋体"/>
          <w:color w:val="000000"/>
          <w:szCs w:val="21"/>
        </w:rPr>
      </w:pPr>
      <w:r>
        <w:rPr>
          <w:rFonts w:hint="eastAsia" w:ascii="宋体" w:hAnsi="宋体"/>
          <w:color w:val="000000"/>
          <w:szCs w:val="21"/>
        </w:rPr>
        <w:t>(9)推荐的中标候选人名单与签订合同前要处理的事宜。</w:t>
      </w:r>
    </w:p>
    <w:p>
      <w:pPr>
        <w:spacing w:line="400" w:lineRule="exact"/>
        <w:ind w:firstLine="420" w:firstLineChars="200"/>
        <w:rPr>
          <w:rFonts w:ascii="宋体" w:hAnsi="宋体"/>
          <w:color w:val="000000"/>
          <w:szCs w:val="21"/>
        </w:rPr>
      </w:pPr>
      <w:r>
        <w:rPr>
          <w:rFonts w:hint="eastAsia" w:ascii="宋体" w:hAnsi="宋体"/>
          <w:color w:val="000000"/>
          <w:szCs w:val="21"/>
        </w:rPr>
        <w:t>(10)澄清、说明、补正事项纪要。</w:t>
      </w:r>
    </w:p>
    <w:p>
      <w:pPr>
        <w:spacing w:line="400" w:lineRule="exact"/>
        <w:ind w:firstLine="420" w:firstLineChars="200"/>
        <w:rPr>
          <w:rFonts w:ascii="宋体" w:hAnsi="宋体"/>
          <w:color w:val="000000"/>
          <w:szCs w:val="21"/>
        </w:rPr>
      </w:pPr>
      <w:r>
        <w:rPr>
          <w:rFonts w:hint="eastAsia" w:ascii="宋体" w:hAnsi="宋体"/>
          <w:color w:val="000000"/>
          <w:szCs w:val="21"/>
        </w:rPr>
        <w:t>3.6.3 评标委员会推荐的中标候选人应当限定在1-3名，并标明排列顺序。</w:t>
      </w:r>
    </w:p>
    <w:p>
      <w:pPr>
        <w:spacing w:line="400" w:lineRule="exact"/>
        <w:ind w:firstLine="420" w:firstLineChars="200"/>
        <w:rPr>
          <w:rFonts w:ascii="宋体" w:hAnsi="宋体"/>
          <w:color w:val="000000"/>
          <w:szCs w:val="21"/>
        </w:rPr>
      </w:pPr>
      <w:r>
        <w:rPr>
          <w:rFonts w:hint="eastAsia" w:ascii="宋体" w:hAnsi="宋体"/>
          <w:color w:val="000000"/>
          <w:szCs w:val="21"/>
        </w:rPr>
        <w:t>3.6.4 依法必须进行招标的项目，招标人应当确定排名第一的中标候选人为中标人。排名第一的中标候选人放弃中标、因不可抗力提出不能履行合同，或者招标文件规定应当提交履约保证金而在规定的期限内未能提交的，招标人可以确定排名第二的中标候选人为中标人。以此类推。</w:t>
      </w:r>
    </w:p>
    <w:p>
      <w:pPr>
        <w:keepNext/>
        <w:keepLines/>
        <w:spacing w:before="260" w:after="260" w:line="415" w:lineRule="auto"/>
        <w:outlineLvl w:val="2"/>
        <w:rPr>
          <w:b/>
          <w:bCs/>
          <w:color w:val="000000"/>
          <w:sz w:val="32"/>
          <w:szCs w:val="32"/>
        </w:rPr>
      </w:pPr>
      <w:bookmarkStart w:id="130" w:name="_Toc532910225"/>
      <w:bookmarkStart w:id="131" w:name="_Toc532910504"/>
      <w:r>
        <w:rPr>
          <w:rFonts w:hint="eastAsia"/>
          <w:b/>
          <w:bCs/>
          <w:color w:val="000000"/>
          <w:sz w:val="32"/>
          <w:szCs w:val="32"/>
        </w:rPr>
        <w:t>3.7其他</w:t>
      </w:r>
      <w:bookmarkEnd w:id="130"/>
      <w:bookmarkEnd w:id="131"/>
    </w:p>
    <w:p>
      <w:pPr>
        <w:spacing w:line="400" w:lineRule="exact"/>
        <w:ind w:firstLine="422" w:firstLineChars="200"/>
        <w:rPr>
          <w:rFonts w:ascii="宋体" w:hAnsi="宋体"/>
          <w:b/>
          <w:color w:val="000000"/>
          <w:szCs w:val="22"/>
        </w:rPr>
      </w:pPr>
      <w:r>
        <w:rPr>
          <w:rFonts w:hint="eastAsia" w:ascii="宋体" w:hAnsi="宋体"/>
          <w:b/>
          <w:color w:val="000000"/>
          <w:szCs w:val="22"/>
        </w:rPr>
        <w:t>供应商提供的与投标有关的各类证书、证明、文件、资料等的真实性、合法性由供应商负全责。如发现供应商有弄虚作假或提供不实信息的行为，无论在投标有效期内还是在工程实施过程中，一经发现，将被取消其中标资格或终止合同，视为企业不诚信行为。</w:t>
      </w:r>
    </w:p>
    <w:p>
      <w:pPr>
        <w:pStyle w:val="2"/>
        <w:rPr>
          <w:rFonts w:ascii="宋体" w:hAnsi="宋体" w:eastAsia="宋体"/>
          <w:color w:val="000000"/>
        </w:rPr>
      </w:pPr>
      <w:r>
        <w:rPr>
          <w:rFonts w:ascii="宋体" w:hAnsi="宋体" w:eastAsia="宋体"/>
          <w:color w:val="000000"/>
          <w:kern w:val="2"/>
          <w:sz w:val="32"/>
          <w:szCs w:val="32"/>
        </w:rPr>
        <w:br w:type="page"/>
      </w:r>
      <w:r>
        <w:rPr>
          <w:rFonts w:hint="eastAsia" w:ascii="宋体" w:hAnsi="宋体" w:eastAsia="宋体"/>
          <w:color w:val="000000"/>
        </w:rPr>
        <w:t>三、 技术要求</w:t>
      </w:r>
    </w:p>
    <w:p>
      <w:pPr>
        <w:rPr>
          <w:color w:val="000000"/>
        </w:rPr>
      </w:pPr>
    </w:p>
    <w:p>
      <w:pPr>
        <w:spacing w:line="500" w:lineRule="exact"/>
        <w:ind w:firstLine="560" w:firstLineChars="200"/>
        <w:rPr>
          <w:kern w:val="0"/>
          <w:sz w:val="28"/>
          <w:szCs w:val="28"/>
        </w:rPr>
      </w:pPr>
      <w:r>
        <w:rPr>
          <w:sz w:val="28"/>
          <w:szCs w:val="28"/>
        </w:rPr>
        <w:t>1</w:t>
      </w:r>
      <w:r>
        <w:rPr>
          <w:rFonts w:hint="eastAsia"/>
          <w:sz w:val="28"/>
          <w:szCs w:val="28"/>
        </w:rPr>
        <w:t>、按</w:t>
      </w:r>
      <w:r>
        <w:rPr>
          <w:rFonts w:hint="eastAsia"/>
          <w:sz w:val="28"/>
          <w:szCs w:val="28"/>
          <w:lang w:eastAsia="zh-CN"/>
        </w:rPr>
        <w:t>招标</w:t>
      </w:r>
      <w:r>
        <w:rPr>
          <w:rFonts w:hint="eastAsia"/>
          <w:sz w:val="28"/>
          <w:szCs w:val="28"/>
        </w:rPr>
        <w:t>方的要求按时进入施工场地，保证按工期保质保量的顺利完成全部工作。</w:t>
      </w:r>
    </w:p>
    <w:p>
      <w:pPr>
        <w:spacing w:line="500" w:lineRule="exact"/>
        <w:ind w:firstLine="560" w:firstLineChars="200"/>
        <w:rPr>
          <w:sz w:val="28"/>
          <w:szCs w:val="28"/>
        </w:rPr>
      </w:pPr>
      <w:r>
        <w:rPr>
          <w:sz w:val="28"/>
          <w:szCs w:val="28"/>
        </w:rPr>
        <w:t>2</w:t>
      </w:r>
      <w:r>
        <w:rPr>
          <w:rFonts w:hint="eastAsia"/>
          <w:sz w:val="28"/>
          <w:szCs w:val="28"/>
        </w:rPr>
        <w:t>、负责对本次招标所列的拆迁范围内建筑物及附属物的拆除、清运、建筑物料垃圾处置、清理、场地平整等工作；并按国家规范要求和环保要求施工。</w:t>
      </w:r>
    </w:p>
    <w:p>
      <w:pPr>
        <w:spacing w:line="500" w:lineRule="exact"/>
        <w:ind w:firstLine="560" w:firstLineChars="200"/>
        <w:rPr>
          <w:sz w:val="28"/>
          <w:szCs w:val="28"/>
        </w:rPr>
      </w:pPr>
      <w:r>
        <w:rPr>
          <w:sz w:val="28"/>
          <w:szCs w:val="28"/>
        </w:rPr>
        <w:t>3</w:t>
      </w:r>
      <w:r>
        <w:rPr>
          <w:rFonts w:hint="eastAsia"/>
          <w:sz w:val="28"/>
          <w:szCs w:val="28"/>
        </w:rPr>
        <w:t>、负责对拆除现场和施工人员的安全保障工作，在拆除工地周边设置防护围栏、警示标志等安全防护设施，安排专人巡视。</w:t>
      </w:r>
    </w:p>
    <w:p>
      <w:pPr>
        <w:spacing w:line="500" w:lineRule="exact"/>
        <w:ind w:firstLine="560" w:firstLineChars="200"/>
        <w:rPr>
          <w:sz w:val="28"/>
          <w:szCs w:val="28"/>
        </w:rPr>
      </w:pPr>
      <w:r>
        <w:rPr>
          <w:sz w:val="28"/>
          <w:szCs w:val="28"/>
        </w:rPr>
        <w:t>4</w:t>
      </w:r>
      <w:r>
        <w:rPr>
          <w:rFonts w:hint="eastAsia"/>
          <w:sz w:val="28"/>
          <w:szCs w:val="28"/>
        </w:rPr>
        <w:t>、保证具备拆除相应资质，负责办理拆除施工所需要的所有许可证。</w:t>
      </w:r>
    </w:p>
    <w:p>
      <w:pPr>
        <w:spacing w:line="500" w:lineRule="exact"/>
        <w:ind w:firstLine="560" w:firstLineChars="200"/>
        <w:rPr>
          <w:sz w:val="28"/>
          <w:szCs w:val="28"/>
        </w:rPr>
      </w:pPr>
      <w:r>
        <w:rPr>
          <w:sz w:val="28"/>
          <w:szCs w:val="28"/>
        </w:rPr>
        <w:t>5</w:t>
      </w:r>
      <w:r>
        <w:rPr>
          <w:rFonts w:hint="eastAsia"/>
          <w:sz w:val="28"/>
          <w:szCs w:val="28"/>
        </w:rPr>
        <w:t>、因拆除工作造成的事故、行政处罚等一切责任和费用等均由</w:t>
      </w:r>
      <w:r>
        <w:rPr>
          <w:rFonts w:hint="eastAsia"/>
          <w:sz w:val="28"/>
          <w:szCs w:val="28"/>
          <w:lang w:eastAsia="zh-CN"/>
        </w:rPr>
        <w:t>中标</w:t>
      </w:r>
      <w:r>
        <w:rPr>
          <w:rFonts w:hint="eastAsia"/>
          <w:sz w:val="28"/>
          <w:szCs w:val="28"/>
        </w:rPr>
        <w:t>方自行承担。</w:t>
      </w:r>
    </w:p>
    <w:p>
      <w:pPr>
        <w:spacing w:line="500" w:lineRule="exact"/>
        <w:ind w:firstLine="560" w:firstLineChars="200"/>
        <w:rPr>
          <w:sz w:val="28"/>
          <w:szCs w:val="28"/>
        </w:rPr>
      </w:pPr>
      <w:r>
        <w:rPr>
          <w:sz w:val="28"/>
          <w:szCs w:val="28"/>
        </w:rPr>
        <w:t>6</w:t>
      </w:r>
      <w:r>
        <w:rPr>
          <w:rFonts w:hint="eastAsia"/>
          <w:sz w:val="28"/>
          <w:szCs w:val="28"/>
        </w:rPr>
        <w:t>、在拆除现场坚持安全文明施工，对出入施工现场的道路及时安排人员清扫。拆除施工过程中不得损坏</w:t>
      </w:r>
      <w:r>
        <w:rPr>
          <w:rFonts w:hint="eastAsia"/>
          <w:sz w:val="28"/>
          <w:szCs w:val="28"/>
          <w:lang w:eastAsia="zh-CN"/>
        </w:rPr>
        <w:t>招标</w:t>
      </w:r>
      <w:r>
        <w:rPr>
          <w:rFonts w:hint="eastAsia"/>
          <w:sz w:val="28"/>
          <w:szCs w:val="28"/>
        </w:rPr>
        <w:t>方的道路和其他设施，如有损坏负责维修赔偿；若因</w:t>
      </w:r>
      <w:r>
        <w:rPr>
          <w:rFonts w:hint="eastAsia"/>
          <w:sz w:val="28"/>
          <w:szCs w:val="28"/>
          <w:lang w:eastAsia="zh-CN"/>
        </w:rPr>
        <w:t>中标</w:t>
      </w:r>
      <w:r>
        <w:rPr>
          <w:rFonts w:hint="eastAsia"/>
          <w:sz w:val="28"/>
          <w:szCs w:val="28"/>
        </w:rPr>
        <w:t>方施工造成</w:t>
      </w:r>
      <w:r>
        <w:rPr>
          <w:rFonts w:hint="eastAsia"/>
          <w:sz w:val="28"/>
          <w:szCs w:val="28"/>
          <w:lang w:eastAsia="zh-CN"/>
        </w:rPr>
        <w:t>招标</w:t>
      </w:r>
      <w:r>
        <w:rPr>
          <w:rFonts w:hint="eastAsia"/>
          <w:sz w:val="28"/>
          <w:szCs w:val="28"/>
        </w:rPr>
        <w:t>方其它损失和不良影响的，则由</w:t>
      </w:r>
      <w:r>
        <w:rPr>
          <w:rFonts w:hint="eastAsia"/>
          <w:sz w:val="28"/>
          <w:szCs w:val="28"/>
          <w:lang w:eastAsia="zh-CN"/>
        </w:rPr>
        <w:t>中标</w:t>
      </w:r>
      <w:r>
        <w:rPr>
          <w:rFonts w:hint="eastAsia"/>
          <w:sz w:val="28"/>
          <w:szCs w:val="28"/>
        </w:rPr>
        <w:t>方负责赔偿。</w:t>
      </w:r>
    </w:p>
    <w:p>
      <w:pPr>
        <w:spacing w:line="500" w:lineRule="exact"/>
        <w:ind w:firstLine="560" w:firstLineChars="200"/>
        <w:rPr>
          <w:sz w:val="28"/>
          <w:szCs w:val="28"/>
        </w:rPr>
      </w:pPr>
      <w:r>
        <w:rPr>
          <w:sz w:val="28"/>
          <w:szCs w:val="28"/>
        </w:rPr>
        <w:t>7</w:t>
      </w:r>
      <w:r>
        <w:rPr>
          <w:rFonts w:hint="eastAsia"/>
          <w:sz w:val="28"/>
          <w:szCs w:val="28"/>
        </w:rPr>
        <w:t>、施工中拆下的各类废旧材料归</w:t>
      </w:r>
      <w:r>
        <w:rPr>
          <w:rFonts w:hint="eastAsia"/>
          <w:sz w:val="28"/>
          <w:szCs w:val="28"/>
          <w:lang w:eastAsia="zh-CN"/>
        </w:rPr>
        <w:t>中标</w:t>
      </w:r>
      <w:r>
        <w:rPr>
          <w:rFonts w:hint="eastAsia"/>
          <w:sz w:val="28"/>
          <w:szCs w:val="28"/>
        </w:rPr>
        <w:t>方所有，由</w:t>
      </w:r>
      <w:r>
        <w:rPr>
          <w:rFonts w:hint="eastAsia"/>
          <w:sz w:val="28"/>
          <w:szCs w:val="28"/>
          <w:lang w:eastAsia="zh-CN"/>
        </w:rPr>
        <w:t>中标</w:t>
      </w:r>
      <w:r>
        <w:rPr>
          <w:rFonts w:hint="eastAsia"/>
          <w:sz w:val="28"/>
          <w:szCs w:val="28"/>
        </w:rPr>
        <w:t>方处理，在报价中做合理降幅。</w:t>
      </w:r>
    </w:p>
    <w:p>
      <w:pPr>
        <w:spacing w:line="500" w:lineRule="exact"/>
        <w:ind w:firstLine="560" w:firstLineChars="200"/>
        <w:rPr>
          <w:sz w:val="28"/>
          <w:szCs w:val="28"/>
        </w:rPr>
      </w:pPr>
      <w:r>
        <w:rPr>
          <w:rFonts w:hint="eastAsia"/>
          <w:sz w:val="28"/>
          <w:szCs w:val="28"/>
        </w:rPr>
        <w:t>8、严格按照设计图纸要求施工，如有变动和疑义的地方及时以工程联系单的方式提出。</w:t>
      </w:r>
    </w:p>
    <w:p>
      <w:pPr>
        <w:spacing w:line="500" w:lineRule="exact"/>
        <w:ind w:firstLine="560" w:firstLineChars="200"/>
        <w:rPr>
          <w:rFonts w:hint="eastAsia"/>
          <w:sz w:val="28"/>
          <w:szCs w:val="28"/>
        </w:rPr>
      </w:pPr>
      <w:r>
        <w:rPr>
          <w:rFonts w:hint="eastAsia"/>
          <w:sz w:val="28"/>
          <w:szCs w:val="28"/>
        </w:rPr>
        <w:t>9、仔细勘探现场，确保做到楼顶防水可靠有效。</w:t>
      </w:r>
    </w:p>
    <w:p>
      <w:pPr>
        <w:spacing w:line="500" w:lineRule="exact"/>
        <w:ind w:firstLine="560" w:firstLineChars="200"/>
        <w:rPr>
          <w:rFonts w:hint="eastAsia"/>
          <w:color w:val="FF0000"/>
          <w:sz w:val="28"/>
          <w:szCs w:val="28"/>
        </w:rPr>
      </w:pPr>
      <w:r>
        <w:rPr>
          <w:rFonts w:hint="eastAsia"/>
          <w:sz w:val="28"/>
          <w:szCs w:val="28"/>
          <w:lang w:val="en-US" w:eastAsia="zh-CN"/>
        </w:rPr>
        <w:t>10、</w:t>
      </w:r>
      <w:r>
        <w:rPr>
          <w:rFonts w:hint="eastAsia"/>
          <w:color w:val="FF0000"/>
          <w:sz w:val="28"/>
          <w:szCs w:val="28"/>
        </w:rPr>
        <w:t>油烟过滤器移位</w:t>
      </w:r>
      <w:r>
        <w:rPr>
          <w:rFonts w:hint="eastAsia"/>
          <w:color w:val="FF0000"/>
          <w:sz w:val="28"/>
          <w:szCs w:val="28"/>
          <w:lang w:eastAsia="zh-CN"/>
        </w:rPr>
        <w:t>后必须保证原有油烟过滤效果，如因移位后造成油烟过滤效果降低影响周边环境及食堂正常工作，必须由中标方在招标方规定时间内进行整改直至满足要求为止。</w:t>
      </w:r>
    </w:p>
    <w:p>
      <w:pPr>
        <w:pStyle w:val="2"/>
        <w:numPr>
          <w:ilvl w:val="0"/>
          <w:numId w:val="0"/>
        </w:numPr>
        <w:spacing w:line="360" w:lineRule="auto"/>
        <w:jc w:val="both"/>
        <w:rPr>
          <w:rFonts w:ascii="宋体" w:hAnsi="宋体" w:eastAsia="宋体"/>
          <w:b/>
          <w:color w:val="000000"/>
          <w:sz w:val="24"/>
          <w:szCs w:val="24"/>
        </w:rPr>
      </w:pPr>
      <w:r>
        <w:rPr>
          <w:rFonts w:ascii="宋体" w:hAnsi="宋体" w:eastAsia="宋体"/>
          <w:b/>
          <w:color w:val="000000"/>
          <w:kern w:val="2"/>
          <w:sz w:val="24"/>
          <w:szCs w:val="24"/>
        </w:rPr>
        <w:br w:type="page"/>
      </w:r>
    </w:p>
    <w:p>
      <w:pPr>
        <w:pStyle w:val="2"/>
        <w:rPr>
          <w:rFonts w:ascii="宋体" w:hAnsi="宋体" w:eastAsia="宋体"/>
          <w:color w:val="000000"/>
        </w:rPr>
      </w:pPr>
      <w:bookmarkStart w:id="132" w:name="_Toc508803991"/>
      <w:r>
        <w:rPr>
          <w:rFonts w:hint="eastAsia" w:ascii="宋体" w:hAnsi="宋体" w:eastAsia="宋体"/>
          <w:color w:val="000000"/>
        </w:rPr>
        <w:t>四、 合同条款及格式</w:t>
      </w:r>
    </w:p>
    <w:p>
      <w:pPr>
        <w:jc w:val="center"/>
        <w:rPr>
          <w:rFonts w:ascii="宋体" w:hAnsi="宋体"/>
          <w:color w:val="000000"/>
          <w:sz w:val="28"/>
          <w:szCs w:val="28"/>
        </w:rPr>
      </w:pPr>
      <w:r>
        <w:rPr>
          <w:rFonts w:hint="eastAsia" w:ascii="宋体" w:hAnsi="宋体"/>
          <w:color w:val="000000"/>
          <w:sz w:val="28"/>
          <w:szCs w:val="28"/>
        </w:rPr>
        <w:t>（本合同供双方参考，可签订更详细合同）</w:t>
      </w:r>
    </w:p>
    <w:p>
      <w:pPr>
        <w:spacing w:line="480" w:lineRule="auto"/>
        <w:rPr>
          <w:rFonts w:ascii="宋体" w:hAnsi="宋体"/>
          <w:sz w:val="24"/>
        </w:rPr>
      </w:pPr>
      <w:r>
        <w:rPr>
          <w:rFonts w:hint="eastAsia" w:ascii="宋体" w:hAnsi="宋体"/>
          <w:sz w:val="24"/>
          <w:lang w:eastAsia="zh-CN"/>
        </w:rPr>
        <w:t>招标</w:t>
      </w:r>
      <w:r>
        <w:rPr>
          <w:rFonts w:hint="eastAsia" w:ascii="宋体" w:hAnsi="宋体"/>
          <w:sz w:val="24"/>
        </w:rPr>
        <w:t>方：</w:t>
      </w:r>
      <w:r>
        <w:rPr>
          <w:rFonts w:hint="eastAsia" w:ascii="宋体" w:hAnsi="宋体"/>
          <w:sz w:val="24"/>
          <w:u w:val="single"/>
        </w:rPr>
        <w:t xml:space="preserve">             </w:t>
      </w:r>
      <w:r>
        <w:rPr>
          <w:rFonts w:hint="eastAsia" w:ascii="宋体" w:hAnsi="宋体"/>
          <w:sz w:val="24"/>
        </w:rPr>
        <w:t>（以下简称甲方）</w:t>
      </w:r>
    </w:p>
    <w:p>
      <w:pPr>
        <w:spacing w:line="480" w:lineRule="auto"/>
        <w:rPr>
          <w:rFonts w:ascii="宋体" w:hAnsi="宋体"/>
          <w:sz w:val="24"/>
        </w:rPr>
      </w:pPr>
      <w:r>
        <w:rPr>
          <w:rFonts w:hint="eastAsia" w:ascii="宋体" w:hAnsi="宋体"/>
          <w:sz w:val="24"/>
        </w:rPr>
        <w:t>承包方：</w:t>
      </w:r>
      <w:r>
        <w:rPr>
          <w:rFonts w:hint="eastAsia" w:ascii="宋体" w:hAnsi="宋体"/>
          <w:sz w:val="24"/>
          <w:u w:val="single"/>
        </w:rPr>
        <w:t xml:space="preserve">             </w:t>
      </w:r>
      <w:r>
        <w:rPr>
          <w:rFonts w:hint="eastAsia" w:ascii="宋体" w:hAnsi="宋体"/>
          <w:sz w:val="24"/>
        </w:rPr>
        <w:t>（以下简称乙方）</w:t>
      </w:r>
    </w:p>
    <w:p>
      <w:pPr>
        <w:spacing w:line="480" w:lineRule="auto"/>
        <w:ind w:firstLine="480" w:firstLineChars="200"/>
        <w:rPr>
          <w:rFonts w:ascii="宋体" w:hAnsi="宋体"/>
          <w:sz w:val="24"/>
        </w:rPr>
      </w:pPr>
      <w:r>
        <w:rPr>
          <w:rFonts w:hint="eastAsia" w:ascii="宋体" w:hAnsi="宋体"/>
          <w:sz w:val="24"/>
        </w:rPr>
        <w:t>依照《民法典》、《中华人民共和国建筑法》及其他有关法律、行政法规、遵循平等、自愿、公平和诚实信用的原则，双方协商一致，订立本合同。</w:t>
      </w:r>
    </w:p>
    <w:p>
      <w:pPr>
        <w:spacing w:line="480" w:lineRule="auto"/>
        <w:rPr>
          <w:rFonts w:ascii="宋体" w:hAnsi="宋体"/>
          <w:b/>
          <w:bCs/>
          <w:sz w:val="24"/>
        </w:rPr>
      </w:pPr>
      <w:r>
        <w:rPr>
          <w:rFonts w:hint="eastAsia" w:ascii="宋体" w:hAnsi="宋体"/>
          <w:b/>
          <w:bCs/>
          <w:sz w:val="24"/>
        </w:rPr>
        <w:t>第一条 工程概况</w:t>
      </w:r>
    </w:p>
    <w:p>
      <w:pPr>
        <w:spacing w:line="480" w:lineRule="auto"/>
        <w:rPr>
          <w:rFonts w:ascii="宋体" w:hAnsi="宋体"/>
          <w:sz w:val="24"/>
        </w:rPr>
      </w:pPr>
      <w:r>
        <w:rPr>
          <w:rFonts w:hint="eastAsia" w:ascii="宋体" w:hAnsi="宋体"/>
          <w:sz w:val="24"/>
        </w:rPr>
        <w:t>（一）工程名称：</w:t>
      </w:r>
      <w:r>
        <w:rPr>
          <w:rFonts w:hint="eastAsia" w:ascii="宋体" w:hAnsi="宋体"/>
          <w:sz w:val="24"/>
          <w:u w:val="single"/>
        </w:rPr>
        <w:t>六安市中医院西边楼屋面改造工程</w:t>
      </w:r>
    </w:p>
    <w:p>
      <w:pPr>
        <w:spacing w:line="480" w:lineRule="auto"/>
        <w:rPr>
          <w:rFonts w:ascii="宋体" w:hAnsi="宋体"/>
          <w:sz w:val="24"/>
        </w:rPr>
      </w:pPr>
      <w:r>
        <w:rPr>
          <w:rFonts w:hint="eastAsia" w:ascii="宋体" w:hAnsi="宋体"/>
          <w:sz w:val="24"/>
        </w:rPr>
        <w:t>（二）工程地点：</w:t>
      </w:r>
      <w:r>
        <w:rPr>
          <w:rFonts w:hint="eastAsia" w:ascii="宋体" w:hAnsi="宋体"/>
          <w:sz w:val="24"/>
          <w:u w:val="single"/>
        </w:rPr>
        <w:t>六安市中医院学生公寓楼</w:t>
      </w:r>
    </w:p>
    <w:p>
      <w:pPr>
        <w:spacing w:line="480" w:lineRule="auto"/>
        <w:rPr>
          <w:rFonts w:ascii="宋体" w:hAnsi="宋体"/>
          <w:sz w:val="24"/>
        </w:rPr>
      </w:pPr>
      <w:r>
        <w:rPr>
          <w:rFonts w:hint="eastAsia" w:ascii="宋体" w:hAnsi="宋体"/>
          <w:sz w:val="24"/>
        </w:rPr>
        <w:t>（三）工程内容：</w:t>
      </w:r>
      <w:r>
        <w:rPr>
          <w:rFonts w:hint="eastAsia" w:ascii="宋体" w:hAnsi="宋体"/>
          <w:sz w:val="24"/>
          <w:u w:val="single"/>
        </w:rPr>
        <w:t>详见合同附件</w:t>
      </w:r>
    </w:p>
    <w:p>
      <w:pPr>
        <w:spacing w:line="480" w:lineRule="auto"/>
        <w:rPr>
          <w:rFonts w:ascii="宋体" w:hAnsi="宋体"/>
          <w:b/>
          <w:bCs/>
          <w:sz w:val="24"/>
        </w:rPr>
      </w:pPr>
      <w:r>
        <w:rPr>
          <w:rFonts w:hint="eastAsia" w:ascii="宋体" w:hAnsi="宋体"/>
          <w:b/>
          <w:bCs/>
          <w:sz w:val="24"/>
        </w:rPr>
        <w:t>第二条 工程承包范围</w:t>
      </w:r>
    </w:p>
    <w:p>
      <w:pPr>
        <w:spacing w:line="480" w:lineRule="auto"/>
        <w:rPr>
          <w:rFonts w:ascii="宋体" w:hAnsi="宋体"/>
          <w:b/>
          <w:bCs/>
          <w:sz w:val="24"/>
        </w:rPr>
      </w:pPr>
      <w:r>
        <w:rPr>
          <w:rFonts w:hint="eastAsia" w:ascii="宋体" w:hAnsi="宋体"/>
          <w:sz w:val="24"/>
        </w:rPr>
        <w:t>（一）工程范围就是招投标文件上要求的范围，如果对方在初次、二次设计图及设计图修改变更等过程中审减的项目以及未施工的项目，应当在结算时作相应的扣减。</w:t>
      </w:r>
    </w:p>
    <w:p>
      <w:pPr>
        <w:spacing w:line="480" w:lineRule="auto"/>
        <w:rPr>
          <w:rFonts w:ascii="宋体" w:hAnsi="宋体"/>
          <w:sz w:val="24"/>
        </w:rPr>
      </w:pPr>
      <w:r>
        <w:rPr>
          <w:rFonts w:hint="eastAsia" w:ascii="宋体" w:hAnsi="宋体"/>
          <w:sz w:val="24"/>
        </w:rPr>
        <w:t>（二）承包方式：包工包料 。</w:t>
      </w:r>
    </w:p>
    <w:p>
      <w:pPr>
        <w:spacing w:line="480" w:lineRule="auto"/>
        <w:rPr>
          <w:rFonts w:ascii="宋体" w:hAnsi="宋体"/>
          <w:b/>
          <w:bCs/>
          <w:sz w:val="24"/>
        </w:rPr>
      </w:pPr>
      <w:r>
        <w:rPr>
          <w:rFonts w:hint="eastAsia" w:ascii="宋体" w:hAnsi="宋体"/>
          <w:b/>
          <w:bCs/>
          <w:sz w:val="24"/>
        </w:rPr>
        <w:t>第三条 质量标准</w:t>
      </w:r>
    </w:p>
    <w:p>
      <w:pPr>
        <w:spacing w:line="480" w:lineRule="auto"/>
        <w:ind w:firstLine="480" w:firstLineChars="200"/>
        <w:rPr>
          <w:rFonts w:ascii="宋体" w:hAnsi="宋体"/>
          <w:sz w:val="24"/>
        </w:rPr>
      </w:pPr>
      <w:r>
        <w:rPr>
          <w:rFonts w:hint="eastAsia" w:ascii="宋体" w:hAnsi="宋体"/>
          <w:sz w:val="24"/>
        </w:rPr>
        <w:t>工程质量标准：以国家和相关行业标准施工，达到标准说明的质量和技术要求。</w:t>
      </w:r>
    </w:p>
    <w:p>
      <w:pPr>
        <w:spacing w:line="480" w:lineRule="auto"/>
        <w:rPr>
          <w:rFonts w:ascii="宋体" w:hAnsi="宋体"/>
          <w:b/>
          <w:bCs/>
          <w:sz w:val="24"/>
        </w:rPr>
      </w:pPr>
      <w:r>
        <w:rPr>
          <w:rFonts w:hint="eastAsia" w:ascii="宋体" w:hAnsi="宋体"/>
          <w:b/>
          <w:bCs/>
          <w:sz w:val="24"/>
        </w:rPr>
        <w:t>第四条 工程期限</w:t>
      </w:r>
    </w:p>
    <w:p>
      <w:pPr>
        <w:spacing w:line="480" w:lineRule="auto"/>
        <w:rPr>
          <w:rFonts w:ascii="宋体" w:hAnsi="宋体"/>
          <w:sz w:val="24"/>
        </w:rPr>
      </w:pPr>
      <w:r>
        <w:rPr>
          <w:rFonts w:hint="eastAsia" w:ascii="宋体" w:hAnsi="宋体"/>
          <w:sz w:val="24"/>
        </w:rPr>
        <w:t>（一）合同工期总日历天数：自签订合同之日起</w:t>
      </w:r>
      <w:r>
        <w:rPr>
          <w:rFonts w:ascii="宋体" w:hAnsi="宋体"/>
          <w:sz w:val="24"/>
          <w:u w:val="single"/>
        </w:rPr>
        <w:t>45</w:t>
      </w:r>
      <w:r>
        <w:rPr>
          <w:rFonts w:hint="eastAsia" w:ascii="宋体" w:hAnsi="宋体"/>
          <w:sz w:val="24"/>
        </w:rPr>
        <w:t>天。</w:t>
      </w:r>
    </w:p>
    <w:p>
      <w:pPr>
        <w:spacing w:line="480" w:lineRule="auto"/>
        <w:rPr>
          <w:rFonts w:ascii="宋体" w:hAnsi="宋体"/>
          <w:sz w:val="24"/>
        </w:rPr>
      </w:pPr>
      <w:r>
        <w:rPr>
          <w:rFonts w:hint="eastAsia" w:ascii="宋体" w:hAnsi="宋体"/>
          <w:sz w:val="24"/>
        </w:rPr>
        <w:t>（二）甲方要求比合同约定的工期提前竣工的，应征得乙方同意，如果乙方能够做到的，不应拒绝。</w:t>
      </w:r>
    </w:p>
    <w:p>
      <w:pPr>
        <w:spacing w:line="480" w:lineRule="auto"/>
        <w:rPr>
          <w:rFonts w:ascii="宋体" w:hAnsi="宋体"/>
          <w:sz w:val="24"/>
        </w:rPr>
      </w:pPr>
      <w:r>
        <w:rPr>
          <w:rFonts w:hint="eastAsia" w:ascii="宋体" w:hAnsi="宋体"/>
          <w:sz w:val="24"/>
        </w:rPr>
        <w:t>（三）因甲方原因或非乙方原因导致不能按期完工的，工期相应的顺延。</w:t>
      </w:r>
    </w:p>
    <w:p>
      <w:pPr>
        <w:spacing w:line="480" w:lineRule="auto"/>
        <w:rPr>
          <w:rFonts w:ascii="宋体" w:hAnsi="宋体"/>
          <w:sz w:val="24"/>
        </w:rPr>
      </w:pPr>
      <w:r>
        <w:rPr>
          <w:rFonts w:hint="eastAsia" w:ascii="宋体" w:hAnsi="宋体"/>
          <w:sz w:val="24"/>
        </w:rPr>
        <w:t>（四）因乙方原因不能按期开工或中途无故停工的，工期不顺延。由此产生的一切法律责任和经济损失由乙方自行承担。</w:t>
      </w:r>
    </w:p>
    <w:p>
      <w:pPr>
        <w:spacing w:line="480" w:lineRule="auto"/>
        <w:rPr>
          <w:rFonts w:ascii="宋体" w:hAnsi="宋体"/>
          <w:sz w:val="24"/>
        </w:rPr>
      </w:pPr>
      <w:r>
        <w:rPr>
          <w:rFonts w:hint="eastAsia" w:ascii="宋体" w:hAnsi="宋体"/>
          <w:sz w:val="24"/>
        </w:rPr>
        <w:t>（五）因设计变更或非乙方原因造成的停电、停水、停气及不可抗力因素影响的，工期相应顺延。</w:t>
      </w:r>
    </w:p>
    <w:p>
      <w:pPr>
        <w:spacing w:line="480" w:lineRule="auto"/>
        <w:rPr>
          <w:rFonts w:ascii="宋体" w:hAnsi="宋体"/>
          <w:b/>
          <w:bCs/>
          <w:sz w:val="24"/>
        </w:rPr>
      </w:pPr>
      <w:r>
        <w:rPr>
          <w:rFonts w:hint="eastAsia" w:ascii="宋体" w:hAnsi="宋体"/>
          <w:b/>
          <w:bCs/>
          <w:sz w:val="24"/>
        </w:rPr>
        <w:t>第五条 工程价款</w:t>
      </w:r>
    </w:p>
    <w:p>
      <w:pPr>
        <w:spacing w:line="480" w:lineRule="auto"/>
        <w:rPr>
          <w:rFonts w:ascii="宋体" w:hAnsi="宋体"/>
          <w:sz w:val="24"/>
        </w:rPr>
      </w:pPr>
      <w:r>
        <w:rPr>
          <w:rFonts w:hint="eastAsia" w:ascii="宋体" w:hAnsi="宋体"/>
          <w:sz w:val="24"/>
        </w:rPr>
        <w:t>（一）本合同总价款</w:t>
      </w:r>
      <w:r>
        <w:rPr>
          <w:rFonts w:hint="eastAsia" w:ascii="宋体" w:hAnsi="宋体"/>
          <w:sz w:val="24"/>
          <w:u w:val="single"/>
        </w:rPr>
        <w:t>/</w:t>
      </w:r>
      <w:r>
        <w:rPr>
          <w:rFonts w:hint="eastAsia" w:ascii="宋体" w:hAnsi="宋体"/>
          <w:sz w:val="24"/>
        </w:rPr>
        <w:t>元(大写：</w:t>
      </w:r>
      <w:r>
        <w:rPr>
          <w:rFonts w:hint="eastAsia" w:ascii="宋体" w:hAnsi="宋体"/>
          <w:sz w:val="24"/>
          <w:u w:val="single"/>
        </w:rPr>
        <w:t>/</w:t>
      </w:r>
      <w:r>
        <w:rPr>
          <w:rFonts w:hint="eastAsia" w:ascii="宋体" w:hAnsi="宋体"/>
          <w:sz w:val="24"/>
        </w:rPr>
        <w:t>，</w:t>
      </w:r>
      <w:r>
        <w:rPr>
          <w:rFonts w:hint="eastAsia" w:ascii="宋体" w:hAnsi="宋体"/>
          <w:sz w:val="24"/>
          <w:u w:val="single"/>
        </w:rPr>
        <w:t>固定总价合同</w:t>
      </w:r>
      <w:r>
        <w:rPr>
          <w:rFonts w:hint="eastAsia" w:ascii="宋体" w:hAnsi="宋体"/>
          <w:sz w:val="24"/>
        </w:rPr>
        <w:t>。（本工程为交钥匙工程）</w:t>
      </w:r>
    </w:p>
    <w:p>
      <w:pPr>
        <w:spacing w:line="480" w:lineRule="auto"/>
        <w:rPr>
          <w:rFonts w:ascii="宋体" w:hAnsi="宋体"/>
          <w:sz w:val="24"/>
        </w:rPr>
      </w:pPr>
      <w:r>
        <w:rPr>
          <w:rFonts w:hint="eastAsia" w:ascii="宋体" w:hAnsi="宋体"/>
          <w:sz w:val="24"/>
        </w:rPr>
        <w:t>（二）未实行合同包干价的，最终价款由六安市中医院监察审计科室根据最新相关文件的规定对实际施工的工程量进行结算；</w:t>
      </w:r>
    </w:p>
    <w:p>
      <w:pPr>
        <w:spacing w:line="480" w:lineRule="auto"/>
        <w:rPr>
          <w:rFonts w:ascii="宋体" w:hAnsi="宋体"/>
          <w:sz w:val="24"/>
        </w:rPr>
      </w:pPr>
      <w:r>
        <w:rPr>
          <w:rFonts w:hint="eastAsia" w:ascii="宋体" w:hAnsi="宋体"/>
          <w:sz w:val="24"/>
        </w:rPr>
        <w:t>（三）总价包干合同不作价款调整，但如遇下列情况，合同总价款应作相应调整，按照第五条第（二）项规定进行结算：</w:t>
      </w:r>
    </w:p>
    <w:p>
      <w:pPr>
        <w:spacing w:line="480" w:lineRule="auto"/>
        <w:ind w:left="210" w:leftChars="100"/>
        <w:rPr>
          <w:rFonts w:ascii="宋体" w:hAnsi="宋体"/>
          <w:sz w:val="24"/>
        </w:rPr>
      </w:pPr>
      <w:r>
        <w:rPr>
          <w:rFonts w:hint="eastAsia" w:ascii="宋体" w:hAnsi="宋体"/>
          <w:sz w:val="24"/>
        </w:rPr>
        <w:t>1、设计发生变更；</w:t>
      </w:r>
    </w:p>
    <w:p>
      <w:pPr>
        <w:spacing w:line="480" w:lineRule="auto"/>
        <w:ind w:left="210" w:leftChars="100"/>
        <w:rPr>
          <w:rFonts w:ascii="宋体" w:hAnsi="宋体"/>
          <w:sz w:val="24"/>
        </w:rPr>
      </w:pPr>
      <w:r>
        <w:rPr>
          <w:rFonts w:hint="eastAsia" w:ascii="宋体" w:hAnsi="宋体"/>
          <w:sz w:val="24"/>
        </w:rPr>
        <w:t>2、在施工中增加或减少了工程项目。</w:t>
      </w:r>
    </w:p>
    <w:p>
      <w:pPr>
        <w:spacing w:line="480" w:lineRule="auto"/>
        <w:rPr>
          <w:rFonts w:ascii="宋体" w:hAnsi="宋体"/>
          <w:sz w:val="24"/>
        </w:rPr>
      </w:pPr>
      <w:r>
        <w:rPr>
          <w:rFonts w:hint="eastAsia" w:ascii="宋体" w:hAnsi="宋体"/>
          <w:sz w:val="24"/>
        </w:rPr>
        <w:t>（三）合同外工程必须由甲乙双方另行签订书面协议进行确定，未经事先书面确认的，甲乙双方一律不予认可。</w:t>
      </w:r>
    </w:p>
    <w:p>
      <w:pPr>
        <w:spacing w:line="480" w:lineRule="auto"/>
        <w:rPr>
          <w:rFonts w:ascii="宋体" w:hAnsi="宋体"/>
          <w:b/>
          <w:bCs/>
          <w:sz w:val="24"/>
        </w:rPr>
      </w:pPr>
      <w:r>
        <w:rPr>
          <w:rFonts w:hint="eastAsia" w:ascii="宋体" w:hAnsi="宋体"/>
          <w:b/>
          <w:bCs/>
          <w:sz w:val="24"/>
        </w:rPr>
        <w:t>第六条 工程质量验收</w:t>
      </w:r>
    </w:p>
    <w:p>
      <w:pPr>
        <w:spacing w:line="480" w:lineRule="auto"/>
        <w:ind w:firstLine="480" w:firstLineChars="200"/>
        <w:rPr>
          <w:rFonts w:ascii="宋体" w:hAnsi="宋体"/>
          <w:sz w:val="24"/>
        </w:rPr>
      </w:pPr>
      <w:r>
        <w:rPr>
          <w:rFonts w:hint="eastAsia" w:ascii="宋体" w:hAnsi="宋体"/>
          <w:sz w:val="24"/>
        </w:rPr>
        <w:t>乙方必须严格按施工图纸、说明文件和国家颁发的有关规范、规程进行施工，并接受甲方的监督检查。乙方应在工程竣工后</w:t>
      </w:r>
      <w:r>
        <w:rPr>
          <w:rFonts w:hint="eastAsia" w:ascii="宋体" w:hAnsi="宋体"/>
          <w:sz w:val="24"/>
          <w:u w:val="single"/>
        </w:rPr>
        <w:t>15</w:t>
      </w:r>
      <w:r>
        <w:rPr>
          <w:rFonts w:hint="eastAsia" w:ascii="宋体" w:hAnsi="宋体"/>
          <w:sz w:val="24"/>
        </w:rPr>
        <w:t>日之内及时通知甲方进行质量验收，质量验收必须达到合格标准。对不合格的工程，乙方应按规范的要求，承担返修工作及费用直到合格为止。</w:t>
      </w:r>
    </w:p>
    <w:p>
      <w:pPr>
        <w:spacing w:line="480" w:lineRule="auto"/>
        <w:rPr>
          <w:rFonts w:ascii="宋体" w:hAnsi="宋体"/>
          <w:b/>
          <w:bCs/>
          <w:sz w:val="24"/>
        </w:rPr>
      </w:pPr>
      <w:r>
        <w:rPr>
          <w:rFonts w:hint="eastAsia" w:ascii="宋体" w:hAnsi="宋体"/>
          <w:b/>
          <w:bCs/>
          <w:sz w:val="24"/>
        </w:rPr>
        <w:t>第七条 工程价款的支付与结算</w:t>
      </w:r>
    </w:p>
    <w:p>
      <w:pPr>
        <w:spacing w:line="480" w:lineRule="auto"/>
        <w:rPr>
          <w:rFonts w:ascii="宋体" w:hAnsi="宋体"/>
          <w:sz w:val="24"/>
        </w:rPr>
      </w:pPr>
      <w:r>
        <w:rPr>
          <w:rFonts w:hint="eastAsia" w:ascii="宋体" w:hAnsi="宋体"/>
          <w:sz w:val="24"/>
        </w:rPr>
        <w:t xml:space="preserve">        工程完工结算需提供甲方现场负责人签字认可的工程验收单。竣工验收合格后，由乙方开具正式完税发票，甲方收到发票后3个月内一次性支付（无息）至工程总价款的97%，余款作为质保金，质量保修金在工程质量保修期全部结束后无异议并扣除因供应商原因造成的质量问题而由招标人或委托他人进行维修的费用后3个月内无息返还剩余质量保修金。</w:t>
      </w:r>
    </w:p>
    <w:p>
      <w:pPr>
        <w:spacing w:line="480" w:lineRule="auto"/>
        <w:rPr>
          <w:rFonts w:ascii="宋体" w:hAnsi="宋体"/>
          <w:b/>
          <w:bCs/>
          <w:sz w:val="24"/>
        </w:rPr>
      </w:pPr>
      <w:r>
        <w:rPr>
          <w:rFonts w:hint="eastAsia" w:ascii="宋体" w:hAnsi="宋体"/>
          <w:b/>
          <w:bCs/>
          <w:sz w:val="24"/>
        </w:rPr>
        <w:t>第八条 安全责任</w:t>
      </w:r>
    </w:p>
    <w:p>
      <w:pPr>
        <w:spacing w:line="480" w:lineRule="auto"/>
        <w:ind w:firstLine="480" w:firstLineChars="200"/>
        <w:rPr>
          <w:rFonts w:ascii="宋体" w:hAnsi="宋体"/>
          <w:sz w:val="24"/>
        </w:rPr>
      </w:pPr>
      <w:r>
        <w:rPr>
          <w:rFonts w:hint="eastAsia" w:ascii="宋体" w:hAnsi="宋体"/>
          <w:sz w:val="24"/>
        </w:rPr>
        <w:t>乙方在施工过程中应严格按照施工程序和施工规范的要求及规定组织施工，加强管理。在施工过程中所造成的一切安全事故及造成的所有经济损失均由乙方自行承担。</w:t>
      </w:r>
    </w:p>
    <w:p>
      <w:pPr>
        <w:spacing w:line="480" w:lineRule="auto"/>
        <w:rPr>
          <w:rFonts w:ascii="宋体" w:hAnsi="宋体"/>
          <w:b/>
          <w:bCs/>
          <w:sz w:val="24"/>
        </w:rPr>
      </w:pPr>
      <w:r>
        <w:rPr>
          <w:rFonts w:hint="eastAsia" w:ascii="宋体" w:hAnsi="宋体"/>
          <w:b/>
          <w:bCs/>
          <w:sz w:val="24"/>
        </w:rPr>
        <w:t>第九条 工程保修</w:t>
      </w:r>
    </w:p>
    <w:p>
      <w:pPr>
        <w:spacing w:line="480" w:lineRule="auto"/>
        <w:ind w:firstLine="480" w:firstLineChars="200"/>
        <w:rPr>
          <w:rFonts w:ascii="宋体" w:hAnsi="宋体"/>
          <w:sz w:val="24"/>
        </w:rPr>
      </w:pPr>
      <w:r>
        <w:rPr>
          <w:rFonts w:hint="eastAsia" w:ascii="宋体" w:hAnsi="宋体"/>
          <w:sz w:val="24"/>
        </w:rPr>
        <w:t>本工程保修范围为施工的全部工程，保修期限为</w:t>
      </w:r>
      <w:r>
        <w:rPr>
          <w:rFonts w:hint="eastAsia" w:ascii="宋体" w:hAnsi="宋体"/>
          <w:sz w:val="24"/>
          <w:u w:val="single"/>
        </w:rPr>
        <w:t xml:space="preserve"> 3 </w:t>
      </w:r>
      <w:r>
        <w:rPr>
          <w:rFonts w:hint="eastAsia" w:ascii="宋体" w:hAnsi="宋体"/>
          <w:sz w:val="24"/>
        </w:rPr>
        <w:t>年，在保修期内乙方应在甲方规定的时间内进行工程保修；如乙方未在甲方规定的时间内保修的，甲方有权委托第三方进行维修，由此产生的一切费用由乙方承担。</w:t>
      </w:r>
    </w:p>
    <w:p>
      <w:pPr>
        <w:spacing w:line="480" w:lineRule="auto"/>
        <w:rPr>
          <w:rFonts w:ascii="宋体" w:hAnsi="宋体"/>
          <w:b/>
          <w:bCs/>
          <w:sz w:val="24"/>
        </w:rPr>
      </w:pPr>
      <w:r>
        <w:rPr>
          <w:rFonts w:hint="eastAsia" w:ascii="宋体" w:hAnsi="宋体"/>
          <w:b/>
          <w:bCs/>
          <w:sz w:val="24"/>
        </w:rPr>
        <w:t>第十条 违约情形及违约责任</w:t>
      </w:r>
    </w:p>
    <w:p>
      <w:pPr>
        <w:spacing w:line="480" w:lineRule="auto"/>
        <w:rPr>
          <w:rFonts w:ascii="宋体" w:hAnsi="宋体"/>
          <w:sz w:val="24"/>
        </w:rPr>
      </w:pPr>
      <w:r>
        <w:rPr>
          <w:rFonts w:hint="eastAsia" w:ascii="宋体" w:hAnsi="宋体"/>
          <w:sz w:val="24"/>
        </w:rPr>
        <w:t>（一）违约情形：合同一方违反合同任意一条约定的，均为违约。</w:t>
      </w:r>
    </w:p>
    <w:p>
      <w:pPr>
        <w:spacing w:line="480" w:lineRule="auto"/>
        <w:rPr>
          <w:rFonts w:ascii="宋体" w:hAnsi="宋体"/>
          <w:sz w:val="24"/>
        </w:rPr>
      </w:pPr>
      <w:r>
        <w:rPr>
          <w:rFonts w:hint="eastAsia" w:ascii="宋体" w:hAnsi="宋体"/>
          <w:sz w:val="24"/>
        </w:rPr>
        <w:t>（二）违约责任：</w:t>
      </w:r>
    </w:p>
    <w:p>
      <w:pPr>
        <w:spacing w:line="480" w:lineRule="auto"/>
        <w:ind w:left="210" w:leftChars="100"/>
        <w:rPr>
          <w:rFonts w:ascii="宋体" w:hAnsi="宋体"/>
          <w:sz w:val="24"/>
        </w:rPr>
      </w:pPr>
      <w:r>
        <w:rPr>
          <w:rFonts w:hint="eastAsia" w:ascii="宋体" w:hAnsi="宋体"/>
          <w:sz w:val="24"/>
        </w:rPr>
        <w:t>1、如双方均有违约行为的，各自自行承担相应的违约责任；</w:t>
      </w:r>
    </w:p>
    <w:p>
      <w:pPr>
        <w:spacing w:line="480" w:lineRule="auto"/>
        <w:ind w:left="210" w:leftChars="100"/>
        <w:rPr>
          <w:rFonts w:ascii="宋体" w:hAnsi="宋体"/>
          <w:sz w:val="24"/>
        </w:rPr>
      </w:pPr>
      <w:r>
        <w:rPr>
          <w:rFonts w:hint="eastAsia" w:ascii="宋体" w:hAnsi="宋体"/>
          <w:sz w:val="24"/>
        </w:rPr>
        <w:t>2、任何一方违约，违约方应向守约方赔偿由此造成的损失外，还需支付守约方按合同价款总额</w:t>
      </w:r>
      <w:r>
        <w:rPr>
          <w:rFonts w:hint="eastAsia" w:ascii="宋体" w:hAnsi="宋体"/>
          <w:sz w:val="24"/>
          <w:u w:val="single"/>
        </w:rPr>
        <w:t xml:space="preserve"> 0.5% </w:t>
      </w:r>
      <w:r>
        <w:rPr>
          <w:rFonts w:hint="eastAsia" w:ascii="宋体" w:hAnsi="宋体"/>
          <w:sz w:val="24"/>
        </w:rPr>
        <w:t>的违约金；</w:t>
      </w:r>
    </w:p>
    <w:p>
      <w:pPr>
        <w:spacing w:line="480" w:lineRule="auto"/>
        <w:ind w:left="210" w:leftChars="100"/>
        <w:rPr>
          <w:rFonts w:ascii="宋体" w:hAnsi="宋体"/>
          <w:sz w:val="24"/>
        </w:rPr>
      </w:pPr>
      <w:r>
        <w:rPr>
          <w:rFonts w:hint="eastAsia" w:ascii="宋体" w:hAnsi="宋体"/>
          <w:sz w:val="24"/>
        </w:rPr>
        <w:t>3、一方违约后，另一方要求违约方继续履行合同时，违约方承担上述违约责任后仍应继续履行合同；</w:t>
      </w:r>
    </w:p>
    <w:p>
      <w:pPr>
        <w:spacing w:line="480" w:lineRule="auto"/>
        <w:rPr>
          <w:rFonts w:ascii="宋体" w:hAnsi="宋体"/>
          <w:b/>
          <w:bCs/>
          <w:sz w:val="24"/>
        </w:rPr>
      </w:pPr>
      <w:r>
        <w:rPr>
          <w:rFonts w:hint="eastAsia" w:ascii="宋体" w:hAnsi="宋体"/>
          <w:b/>
          <w:bCs/>
          <w:sz w:val="24"/>
        </w:rPr>
        <w:t>第十一条 合同的变更、终止或解除</w:t>
      </w:r>
    </w:p>
    <w:p>
      <w:pPr>
        <w:spacing w:line="480" w:lineRule="auto"/>
        <w:rPr>
          <w:rFonts w:ascii="宋体" w:hAnsi="宋体"/>
          <w:sz w:val="24"/>
        </w:rPr>
      </w:pPr>
      <w:r>
        <w:rPr>
          <w:rFonts w:hint="eastAsia" w:ascii="宋体" w:hAnsi="宋体"/>
          <w:sz w:val="24"/>
        </w:rPr>
        <w:t>（一）合同的变更：</w:t>
      </w:r>
    </w:p>
    <w:p>
      <w:pPr>
        <w:spacing w:line="480" w:lineRule="auto"/>
        <w:ind w:left="210" w:leftChars="100"/>
        <w:rPr>
          <w:rFonts w:ascii="宋体" w:hAnsi="宋体"/>
          <w:sz w:val="24"/>
        </w:rPr>
      </w:pPr>
      <w:r>
        <w:rPr>
          <w:rFonts w:hint="eastAsia" w:ascii="宋体" w:hAnsi="宋体"/>
          <w:sz w:val="24"/>
        </w:rPr>
        <w:t>1、本合同未尽事宜，双方可进一步协商，签订书面补充协议；</w:t>
      </w:r>
    </w:p>
    <w:p>
      <w:pPr>
        <w:spacing w:line="480" w:lineRule="auto"/>
        <w:ind w:left="210" w:leftChars="100"/>
        <w:rPr>
          <w:rFonts w:ascii="宋体" w:hAnsi="宋体"/>
          <w:sz w:val="24"/>
        </w:rPr>
      </w:pPr>
      <w:r>
        <w:rPr>
          <w:rFonts w:hint="eastAsia" w:ascii="宋体" w:hAnsi="宋体"/>
          <w:sz w:val="24"/>
        </w:rPr>
        <w:t>2、本合同的任何修改、补充须经双方协商一致，签订书面补充协议。 以上补充协议为本合同不可分割的组成部分，与本合同具有同等法律效力。</w:t>
      </w:r>
    </w:p>
    <w:p>
      <w:pPr>
        <w:spacing w:line="480" w:lineRule="auto"/>
        <w:rPr>
          <w:rFonts w:ascii="宋体" w:hAnsi="宋体"/>
          <w:sz w:val="24"/>
        </w:rPr>
      </w:pPr>
      <w:r>
        <w:rPr>
          <w:rFonts w:hint="eastAsia" w:ascii="宋体" w:hAnsi="宋体"/>
          <w:sz w:val="24"/>
        </w:rPr>
        <w:t>（二）合同的解除或终止：</w:t>
      </w:r>
    </w:p>
    <w:p>
      <w:pPr>
        <w:spacing w:line="480" w:lineRule="auto"/>
        <w:ind w:left="210" w:leftChars="100"/>
        <w:rPr>
          <w:rFonts w:ascii="宋体" w:hAnsi="宋体"/>
          <w:sz w:val="24"/>
        </w:rPr>
      </w:pPr>
      <w:r>
        <w:rPr>
          <w:rFonts w:hint="eastAsia" w:ascii="宋体" w:hAnsi="宋体"/>
          <w:sz w:val="24"/>
        </w:rPr>
        <w:t xml:space="preserve">1、任何一方违反本合同约定，经对方提出后不采取弥补措施的或造成本合同不能履行时，守约方有权要求解除本合同； </w:t>
      </w:r>
    </w:p>
    <w:p>
      <w:pPr>
        <w:spacing w:line="480" w:lineRule="auto"/>
        <w:ind w:left="210" w:leftChars="100"/>
        <w:rPr>
          <w:rFonts w:ascii="宋体" w:hAnsi="宋体"/>
          <w:sz w:val="24"/>
        </w:rPr>
      </w:pPr>
      <w:r>
        <w:rPr>
          <w:rFonts w:hint="eastAsia" w:ascii="宋体" w:hAnsi="宋体"/>
          <w:sz w:val="24"/>
        </w:rPr>
        <w:t>2、因国家政策变化而影响本合同履行时，双方协商后均可以解除本合同；</w:t>
      </w:r>
    </w:p>
    <w:p>
      <w:pPr>
        <w:spacing w:line="480" w:lineRule="auto"/>
        <w:ind w:left="210" w:leftChars="100"/>
        <w:rPr>
          <w:rFonts w:ascii="宋体" w:hAnsi="宋体"/>
          <w:sz w:val="24"/>
        </w:rPr>
      </w:pPr>
      <w:r>
        <w:rPr>
          <w:rFonts w:hint="eastAsia" w:ascii="宋体" w:hAnsi="宋体"/>
          <w:sz w:val="24"/>
        </w:rPr>
        <w:t>3、经合同双方协商一致可以解除本合同；</w:t>
      </w:r>
    </w:p>
    <w:p>
      <w:pPr>
        <w:spacing w:line="480" w:lineRule="auto"/>
        <w:ind w:left="210" w:leftChars="100"/>
        <w:rPr>
          <w:rFonts w:ascii="宋体" w:hAnsi="宋体"/>
          <w:sz w:val="24"/>
        </w:rPr>
      </w:pPr>
      <w:r>
        <w:rPr>
          <w:rFonts w:hint="eastAsia" w:ascii="宋体" w:hAnsi="宋体"/>
          <w:sz w:val="24"/>
        </w:rPr>
        <w:t>4、因不可抗力因素致使本合同不能履行时，双方协商后均可以解除本合同。</w:t>
      </w:r>
    </w:p>
    <w:p>
      <w:pPr>
        <w:spacing w:line="480" w:lineRule="auto"/>
        <w:rPr>
          <w:rFonts w:ascii="宋体" w:hAnsi="宋体"/>
          <w:b/>
          <w:bCs/>
          <w:sz w:val="24"/>
        </w:rPr>
      </w:pPr>
      <w:r>
        <w:rPr>
          <w:rFonts w:hint="eastAsia" w:ascii="宋体" w:hAnsi="宋体"/>
          <w:b/>
          <w:bCs/>
          <w:sz w:val="24"/>
        </w:rPr>
        <w:t>第十二条 争议的解决方式</w:t>
      </w:r>
    </w:p>
    <w:p>
      <w:pPr>
        <w:spacing w:line="480" w:lineRule="auto"/>
        <w:ind w:firstLine="480" w:firstLineChars="200"/>
        <w:rPr>
          <w:rFonts w:ascii="宋体" w:hAnsi="宋体"/>
          <w:sz w:val="24"/>
        </w:rPr>
      </w:pPr>
      <w:r>
        <w:rPr>
          <w:rFonts w:hint="eastAsia" w:ascii="宋体" w:hAnsi="宋体"/>
          <w:sz w:val="24"/>
        </w:rPr>
        <w:t>甲乙双方在履行合同过程中发生争议的，双方应协商解决，协商不成的，向合同实际履行地有管辖权的人民法院起诉。</w:t>
      </w:r>
    </w:p>
    <w:p>
      <w:pPr>
        <w:spacing w:line="480" w:lineRule="auto"/>
        <w:rPr>
          <w:rFonts w:ascii="宋体" w:hAnsi="宋体"/>
          <w:b/>
          <w:bCs/>
          <w:sz w:val="24"/>
        </w:rPr>
      </w:pPr>
      <w:r>
        <w:rPr>
          <w:rFonts w:hint="eastAsia" w:ascii="宋体" w:hAnsi="宋体"/>
          <w:b/>
          <w:bCs/>
          <w:sz w:val="24"/>
        </w:rPr>
        <w:t>第十三条 其他</w:t>
      </w:r>
    </w:p>
    <w:p>
      <w:pPr>
        <w:spacing w:line="480" w:lineRule="auto"/>
        <w:ind w:firstLine="480" w:firstLineChars="200"/>
        <w:rPr>
          <w:rFonts w:ascii="宋体" w:hAnsi="宋体"/>
          <w:sz w:val="24"/>
        </w:rPr>
      </w:pPr>
      <w:r>
        <w:rPr>
          <w:rFonts w:hint="eastAsia" w:ascii="宋体" w:hAnsi="宋体"/>
          <w:sz w:val="24"/>
        </w:rPr>
        <w:t>承包方的项目经理、授权签订合同的代理人必须是承包方的正式员工，应在合同签订时提供其工资收入证明、社保等证明其身份的资料。</w:t>
      </w:r>
    </w:p>
    <w:p>
      <w:pPr>
        <w:spacing w:line="480" w:lineRule="auto"/>
        <w:rPr>
          <w:rFonts w:ascii="宋体" w:hAnsi="宋体"/>
          <w:b/>
          <w:bCs/>
          <w:sz w:val="24"/>
        </w:rPr>
      </w:pPr>
      <w:r>
        <w:rPr>
          <w:rFonts w:hint="eastAsia" w:ascii="宋体" w:hAnsi="宋体"/>
          <w:b/>
          <w:bCs/>
          <w:sz w:val="24"/>
        </w:rPr>
        <w:t>第十四条 合同份数及生效</w:t>
      </w:r>
    </w:p>
    <w:p>
      <w:pPr>
        <w:spacing w:line="480" w:lineRule="auto"/>
        <w:ind w:firstLine="480" w:firstLineChars="200"/>
        <w:rPr>
          <w:rFonts w:ascii="宋体" w:hAnsi="宋体"/>
          <w:sz w:val="24"/>
        </w:rPr>
      </w:pPr>
      <w:r>
        <w:rPr>
          <w:rFonts w:hint="eastAsia" w:ascii="宋体" w:hAnsi="宋体"/>
          <w:sz w:val="24"/>
        </w:rPr>
        <w:t>本合同一式</w:t>
      </w:r>
      <w:r>
        <w:rPr>
          <w:rFonts w:hint="eastAsia" w:ascii="宋体" w:hAnsi="宋体"/>
          <w:sz w:val="24"/>
          <w:u w:val="single"/>
        </w:rPr>
        <w:t>八</w:t>
      </w:r>
      <w:r>
        <w:rPr>
          <w:rFonts w:hint="eastAsia" w:ascii="宋体" w:hAnsi="宋体"/>
          <w:sz w:val="24"/>
        </w:rPr>
        <w:t>份，甲方执</w:t>
      </w:r>
      <w:r>
        <w:rPr>
          <w:rFonts w:hint="eastAsia" w:ascii="宋体" w:hAnsi="宋体"/>
          <w:sz w:val="24"/>
          <w:u w:val="single"/>
        </w:rPr>
        <w:t>六</w:t>
      </w:r>
      <w:r>
        <w:rPr>
          <w:rFonts w:hint="eastAsia" w:ascii="宋体" w:hAnsi="宋体"/>
          <w:sz w:val="24"/>
        </w:rPr>
        <w:t>份，乙方执</w:t>
      </w:r>
      <w:r>
        <w:rPr>
          <w:rFonts w:hint="eastAsia" w:ascii="宋体" w:hAnsi="宋体"/>
          <w:sz w:val="24"/>
          <w:u w:val="single"/>
        </w:rPr>
        <w:t>二</w:t>
      </w:r>
      <w:r>
        <w:rPr>
          <w:rFonts w:hint="eastAsia" w:ascii="宋体" w:hAnsi="宋体"/>
          <w:sz w:val="24"/>
        </w:rPr>
        <w:t>份，均具有同等法律效力；自双方代表签字并加盖印章之日起生效，双方均履行完各自的义务后即自行终止。</w:t>
      </w:r>
    </w:p>
    <w:p>
      <w:pPr>
        <w:spacing w:line="480" w:lineRule="auto"/>
        <w:rPr>
          <w:rFonts w:ascii="宋体" w:hAnsi="宋体"/>
          <w:b/>
          <w:bCs/>
          <w:sz w:val="24"/>
        </w:rPr>
      </w:pPr>
      <w:r>
        <w:rPr>
          <w:rFonts w:hint="eastAsia" w:ascii="宋体" w:hAnsi="宋体"/>
          <w:b/>
          <w:bCs/>
          <w:sz w:val="24"/>
        </w:rPr>
        <w:t>第十五条 补充条款</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1"/>
        <w:gridCol w:w="4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9" w:hRule="atLeast"/>
        </w:trPr>
        <w:tc>
          <w:tcPr>
            <w:tcW w:w="4151" w:type="dxa"/>
          </w:tcPr>
          <w:p>
            <w:pPr>
              <w:spacing w:before="120" w:beforeLines="50" w:line="480" w:lineRule="auto"/>
              <w:rPr>
                <w:rFonts w:ascii="宋体" w:hAnsi="宋体"/>
                <w:szCs w:val="21"/>
              </w:rPr>
            </w:pPr>
            <w:r>
              <w:rPr>
                <w:rFonts w:hint="eastAsia" w:ascii="宋体" w:hAnsi="宋体"/>
                <w:szCs w:val="21"/>
              </w:rPr>
              <w:t>甲方（盖章）：六安市中医院</w:t>
            </w:r>
          </w:p>
          <w:p>
            <w:pPr>
              <w:spacing w:before="120" w:beforeLines="50" w:line="480" w:lineRule="auto"/>
              <w:rPr>
                <w:rFonts w:ascii="宋体" w:hAnsi="宋体"/>
                <w:szCs w:val="21"/>
              </w:rPr>
            </w:pPr>
          </w:p>
          <w:p>
            <w:pPr>
              <w:spacing w:before="120" w:beforeLines="50" w:line="480" w:lineRule="auto"/>
              <w:rPr>
                <w:rFonts w:ascii="宋体" w:hAnsi="宋体"/>
                <w:szCs w:val="21"/>
              </w:rPr>
            </w:pPr>
            <w:r>
              <w:rPr>
                <w:rFonts w:hint="eastAsia" w:ascii="宋体" w:hAnsi="宋体"/>
                <w:szCs w:val="21"/>
              </w:rPr>
              <w:t xml:space="preserve">法定代表人： </w:t>
            </w:r>
          </w:p>
          <w:p>
            <w:pPr>
              <w:spacing w:before="120" w:beforeLines="50" w:line="480" w:lineRule="auto"/>
              <w:rPr>
                <w:rFonts w:ascii="宋体" w:hAnsi="宋体"/>
                <w:szCs w:val="21"/>
              </w:rPr>
            </w:pPr>
            <w:r>
              <w:rPr>
                <w:rFonts w:hint="eastAsia" w:ascii="宋体" w:hAnsi="宋体"/>
                <w:szCs w:val="21"/>
              </w:rPr>
              <w:t>委托代理人:</w:t>
            </w:r>
          </w:p>
          <w:p>
            <w:pPr>
              <w:spacing w:before="120" w:beforeLines="50" w:line="480" w:lineRule="auto"/>
              <w:rPr>
                <w:rFonts w:ascii="宋体" w:hAnsi="宋体"/>
                <w:szCs w:val="21"/>
              </w:rPr>
            </w:pPr>
          </w:p>
          <w:p>
            <w:pPr>
              <w:spacing w:line="480" w:lineRule="auto"/>
              <w:jc w:val="left"/>
              <w:rPr>
                <w:rFonts w:ascii="宋体" w:hAnsi="宋体"/>
                <w:szCs w:val="21"/>
              </w:rPr>
            </w:pPr>
            <w:r>
              <w:rPr>
                <w:rFonts w:hint="eastAsia" w:ascii="宋体" w:hAnsi="宋体"/>
                <w:szCs w:val="21"/>
              </w:rPr>
              <w:t>单位地址:六安市人民路76号</w:t>
            </w:r>
          </w:p>
          <w:p>
            <w:pPr>
              <w:spacing w:line="480" w:lineRule="auto"/>
              <w:jc w:val="left"/>
              <w:rPr>
                <w:rFonts w:ascii="宋体" w:hAnsi="宋体"/>
                <w:szCs w:val="21"/>
              </w:rPr>
            </w:pPr>
            <w:r>
              <w:rPr>
                <w:rFonts w:hint="eastAsia" w:ascii="宋体" w:hAnsi="宋体"/>
                <w:szCs w:val="21"/>
              </w:rPr>
              <w:t>联系电话：0564-3597279</w:t>
            </w:r>
          </w:p>
          <w:p>
            <w:pPr>
              <w:spacing w:line="480" w:lineRule="auto"/>
              <w:jc w:val="left"/>
              <w:rPr>
                <w:rFonts w:ascii="宋体" w:hAnsi="宋体"/>
                <w:szCs w:val="21"/>
              </w:rPr>
            </w:pPr>
            <w:r>
              <w:rPr>
                <w:rFonts w:hint="eastAsia" w:ascii="宋体" w:hAnsi="宋体"/>
                <w:szCs w:val="21"/>
              </w:rPr>
              <w:t>开户行：建行六安政务区支行</w:t>
            </w:r>
          </w:p>
          <w:p>
            <w:pPr>
              <w:spacing w:line="480" w:lineRule="auto"/>
              <w:jc w:val="left"/>
              <w:rPr>
                <w:rFonts w:ascii="宋体" w:hAnsi="宋体"/>
                <w:szCs w:val="21"/>
              </w:rPr>
            </w:pPr>
            <w:r>
              <w:rPr>
                <w:rFonts w:hint="eastAsia" w:ascii="宋体" w:hAnsi="宋体"/>
                <w:szCs w:val="21"/>
              </w:rPr>
              <w:t>银行账号：34001742208050570162</w:t>
            </w:r>
          </w:p>
          <w:p>
            <w:pPr>
              <w:spacing w:line="480" w:lineRule="auto"/>
              <w:jc w:val="left"/>
              <w:rPr>
                <w:rFonts w:ascii="宋体" w:hAnsi="宋体"/>
                <w:szCs w:val="21"/>
              </w:rPr>
            </w:pPr>
            <w:r>
              <w:rPr>
                <w:rFonts w:hint="eastAsia" w:ascii="宋体" w:hAnsi="宋体"/>
                <w:szCs w:val="21"/>
              </w:rPr>
              <w:t>识别号：12341400486188778K</w:t>
            </w:r>
          </w:p>
          <w:p>
            <w:pPr>
              <w:spacing w:line="480" w:lineRule="auto"/>
              <w:jc w:val="left"/>
              <w:rPr>
                <w:rFonts w:ascii="宋体" w:hAnsi="宋体"/>
                <w:szCs w:val="21"/>
              </w:rPr>
            </w:pPr>
            <w:r>
              <w:rPr>
                <w:rFonts w:hint="eastAsia" w:ascii="宋体" w:hAnsi="宋体"/>
                <w:szCs w:val="21"/>
              </w:rPr>
              <w:t xml:space="preserve">                  年    月    日</w:t>
            </w:r>
          </w:p>
        </w:tc>
        <w:tc>
          <w:tcPr>
            <w:tcW w:w="4151" w:type="dxa"/>
          </w:tcPr>
          <w:p>
            <w:pPr>
              <w:tabs>
                <w:tab w:val="left" w:pos="1198"/>
              </w:tabs>
              <w:spacing w:before="120" w:beforeLines="50" w:line="480" w:lineRule="auto"/>
              <w:jc w:val="left"/>
              <w:rPr>
                <w:rFonts w:ascii="宋体" w:hAnsi="宋体" w:cs="宋体"/>
                <w:szCs w:val="21"/>
              </w:rPr>
            </w:pPr>
            <w:r>
              <w:rPr>
                <w:rFonts w:hint="eastAsia" w:ascii="宋体" w:hAnsi="宋体"/>
                <w:szCs w:val="21"/>
              </w:rPr>
              <w:t>乙方（盖章）：</w:t>
            </w:r>
          </w:p>
          <w:p>
            <w:pPr>
              <w:tabs>
                <w:tab w:val="left" w:pos="1198"/>
              </w:tabs>
              <w:spacing w:before="120" w:beforeLines="50" w:line="480" w:lineRule="auto"/>
              <w:jc w:val="left"/>
              <w:rPr>
                <w:rFonts w:ascii="宋体" w:hAnsi="宋体" w:cs="宋体"/>
                <w:szCs w:val="21"/>
              </w:rPr>
            </w:pPr>
            <w:r>
              <w:rPr>
                <w:rFonts w:ascii="宋体" w:hAnsi="宋体" w:cs="宋体"/>
                <w:szCs w:val="21"/>
              </w:rPr>
              <w:t xml:space="preserve"> </w:t>
            </w:r>
          </w:p>
          <w:p>
            <w:pPr>
              <w:spacing w:before="120" w:beforeLines="50" w:line="480" w:lineRule="auto"/>
              <w:rPr>
                <w:rFonts w:ascii="宋体" w:hAnsi="宋体"/>
                <w:szCs w:val="21"/>
              </w:rPr>
            </w:pPr>
            <w:r>
              <w:rPr>
                <w:rFonts w:hint="eastAsia" w:ascii="宋体" w:hAnsi="宋体"/>
                <w:szCs w:val="21"/>
              </w:rPr>
              <w:t>法定代表人：</w:t>
            </w:r>
          </w:p>
          <w:p>
            <w:pPr>
              <w:spacing w:before="120" w:beforeLines="50" w:after="120" w:afterLines="50" w:line="480" w:lineRule="auto"/>
              <w:rPr>
                <w:rFonts w:ascii="宋体" w:hAnsi="宋体"/>
                <w:szCs w:val="21"/>
              </w:rPr>
            </w:pPr>
            <w:r>
              <w:rPr>
                <w:rFonts w:hint="eastAsia" w:ascii="宋体" w:hAnsi="宋体"/>
                <w:szCs w:val="21"/>
              </w:rPr>
              <w:t>委托代理人：</w:t>
            </w:r>
          </w:p>
          <w:p>
            <w:pPr>
              <w:spacing w:line="480" w:lineRule="auto"/>
              <w:rPr>
                <w:rFonts w:ascii="宋体" w:hAnsi="宋体"/>
                <w:szCs w:val="21"/>
              </w:rPr>
            </w:pPr>
          </w:p>
          <w:p>
            <w:pPr>
              <w:spacing w:line="480" w:lineRule="auto"/>
              <w:jc w:val="left"/>
              <w:rPr>
                <w:rFonts w:ascii="宋体" w:hAnsi="宋体"/>
                <w:szCs w:val="21"/>
              </w:rPr>
            </w:pPr>
            <w:r>
              <w:rPr>
                <w:rFonts w:hint="eastAsia" w:ascii="宋体" w:hAnsi="宋体"/>
                <w:szCs w:val="21"/>
              </w:rPr>
              <w:t>单位地址：</w:t>
            </w:r>
            <w:r>
              <w:rPr>
                <w:rFonts w:ascii="宋体" w:hAnsi="宋体"/>
                <w:szCs w:val="21"/>
              </w:rPr>
              <w:t xml:space="preserve"> </w:t>
            </w:r>
          </w:p>
          <w:p>
            <w:pPr>
              <w:spacing w:line="480" w:lineRule="auto"/>
              <w:jc w:val="left"/>
              <w:rPr>
                <w:rFonts w:ascii="宋体" w:hAnsi="宋体"/>
                <w:szCs w:val="21"/>
              </w:rPr>
            </w:pPr>
            <w:r>
              <w:rPr>
                <w:rFonts w:hint="eastAsia" w:ascii="宋体" w:hAnsi="宋体"/>
                <w:szCs w:val="21"/>
              </w:rPr>
              <w:t xml:space="preserve">联系电话： </w:t>
            </w:r>
          </w:p>
          <w:p>
            <w:pPr>
              <w:spacing w:line="480" w:lineRule="auto"/>
              <w:jc w:val="left"/>
              <w:rPr>
                <w:rFonts w:ascii="宋体" w:hAnsi="宋体"/>
                <w:szCs w:val="21"/>
              </w:rPr>
            </w:pPr>
            <w:r>
              <w:rPr>
                <w:rFonts w:hint="eastAsia" w:ascii="宋体" w:hAnsi="宋体"/>
                <w:szCs w:val="21"/>
              </w:rPr>
              <w:t>开户行：</w:t>
            </w:r>
          </w:p>
          <w:p>
            <w:pPr>
              <w:spacing w:line="480" w:lineRule="auto"/>
              <w:jc w:val="left"/>
              <w:rPr>
                <w:rFonts w:ascii="宋体" w:hAnsi="宋体"/>
                <w:szCs w:val="21"/>
              </w:rPr>
            </w:pPr>
            <w:r>
              <w:rPr>
                <w:rFonts w:hint="eastAsia" w:ascii="宋体" w:hAnsi="宋体"/>
                <w:szCs w:val="21"/>
              </w:rPr>
              <w:t>银行账号：</w:t>
            </w:r>
          </w:p>
          <w:p>
            <w:pPr>
              <w:spacing w:line="480" w:lineRule="auto"/>
              <w:jc w:val="left"/>
              <w:rPr>
                <w:rFonts w:ascii="宋体" w:hAnsi="宋体"/>
                <w:szCs w:val="21"/>
              </w:rPr>
            </w:pPr>
            <w:r>
              <w:rPr>
                <w:rFonts w:hint="eastAsia" w:ascii="宋体" w:hAnsi="宋体"/>
                <w:szCs w:val="21"/>
              </w:rPr>
              <w:t>识别号：</w:t>
            </w:r>
          </w:p>
          <w:p>
            <w:pPr>
              <w:spacing w:line="480" w:lineRule="auto"/>
              <w:jc w:val="right"/>
              <w:rPr>
                <w:rFonts w:ascii="宋体" w:hAnsi="宋体"/>
                <w:szCs w:val="21"/>
              </w:rPr>
            </w:pPr>
            <w:r>
              <w:rPr>
                <w:rFonts w:hint="eastAsia" w:ascii="宋体" w:hAnsi="宋体"/>
                <w:szCs w:val="21"/>
              </w:rPr>
              <w:t>年    月    日</w:t>
            </w:r>
          </w:p>
        </w:tc>
      </w:tr>
    </w:tbl>
    <w:p>
      <w:pPr>
        <w:pStyle w:val="2"/>
        <w:rPr>
          <w:rFonts w:ascii="宋体" w:hAnsi="宋体" w:eastAsia="宋体"/>
          <w:color w:val="000000"/>
        </w:rPr>
      </w:pPr>
      <w:r>
        <w:rPr>
          <w:rFonts w:ascii="宋体" w:hAnsi="宋体" w:eastAsia="宋体"/>
          <w:color w:val="000000"/>
          <w:szCs w:val="28"/>
        </w:rPr>
        <w:br w:type="page"/>
      </w:r>
      <w:r>
        <w:rPr>
          <w:rFonts w:hint="eastAsia" w:ascii="宋体" w:hAnsi="宋体" w:eastAsia="宋体"/>
          <w:color w:val="000000"/>
          <w:szCs w:val="28"/>
        </w:rPr>
        <w:t>五</w:t>
      </w:r>
      <w:r>
        <w:rPr>
          <w:rFonts w:ascii="宋体" w:hAnsi="宋体" w:eastAsia="宋体"/>
          <w:color w:val="000000"/>
          <w:szCs w:val="28"/>
        </w:rPr>
        <w:t>、</w:t>
      </w:r>
      <w:r>
        <w:rPr>
          <w:rFonts w:hint="eastAsia" w:ascii="宋体" w:hAnsi="宋体" w:eastAsia="宋体"/>
          <w:color w:val="000000"/>
        </w:rPr>
        <w:t>响应文件格式</w:t>
      </w:r>
      <w:bookmarkEnd w:id="132"/>
    </w:p>
    <w:p>
      <w:pPr>
        <w:spacing w:line="400" w:lineRule="exact"/>
        <w:rPr>
          <w:rFonts w:ascii="宋体" w:hAnsi="宋体"/>
          <w:color w:val="000000"/>
        </w:rPr>
      </w:pPr>
    </w:p>
    <w:p>
      <w:pPr>
        <w:jc w:val="center"/>
        <w:rPr>
          <w:rFonts w:ascii="宋体" w:hAnsi="宋体" w:cs="仿宋_GB2312"/>
          <w:bCs/>
          <w:color w:val="000000"/>
          <w:kern w:val="0"/>
          <w:sz w:val="96"/>
          <w:szCs w:val="52"/>
        </w:rPr>
      </w:pPr>
      <w:r>
        <w:rPr>
          <w:rFonts w:hint="eastAsia" w:ascii="宋体" w:hAnsi="宋体" w:cs="仿宋_GB2312"/>
          <w:bCs/>
          <w:color w:val="000000"/>
          <w:kern w:val="0"/>
          <w:sz w:val="96"/>
          <w:szCs w:val="52"/>
        </w:rPr>
        <w:t>响 应 文 件</w:t>
      </w:r>
    </w:p>
    <w:p>
      <w:pPr>
        <w:ind w:firstLine="1084" w:firstLineChars="600"/>
        <w:jc w:val="left"/>
        <w:rPr>
          <w:rFonts w:ascii="宋体" w:hAnsi="宋体" w:cs="仿宋_GB2312"/>
          <w:b/>
          <w:color w:val="000000"/>
          <w:kern w:val="0"/>
          <w:sz w:val="18"/>
          <w:szCs w:val="18"/>
        </w:rPr>
      </w:pPr>
    </w:p>
    <w:p>
      <w:pPr>
        <w:ind w:firstLine="1084" w:firstLineChars="600"/>
        <w:jc w:val="left"/>
        <w:rPr>
          <w:rFonts w:ascii="宋体" w:hAnsi="宋体" w:cs="仿宋_GB2312"/>
          <w:b/>
          <w:color w:val="000000"/>
          <w:kern w:val="0"/>
          <w:sz w:val="18"/>
          <w:szCs w:val="18"/>
        </w:rPr>
      </w:pPr>
    </w:p>
    <w:p>
      <w:pPr>
        <w:ind w:firstLine="2279" w:firstLineChars="946"/>
        <w:jc w:val="center"/>
        <w:rPr>
          <w:rFonts w:ascii="宋体" w:hAnsi="宋体" w:cs="仿宋_GB2312"/>
          <w:b/>
          <w:color w:val="000000"/>
          <w:kern w:val="0"/>
          <w:sz w:val="24"/>
        </w:rPr>
      </w:pPr>
    </w:p>
    <w:p>
      <w:pPr>
        <w:wordWrap w:val="0"/>
        <w:ind w:firstLine="1850" w:firstLineChars="768"/>
        <w:rPr>
          <w:rFonts w:ascii="宋体" w:hAnsi="宋体" w:cs="仿宋_GB2312"/>
          <w:color w:val="000000"/>
          <w:kern w:val="0"/>
          <w:sz w:val="24"/>
        </w:rPr>
      </w:pPr>
      <w:r>
        <w:rPr>
          <w:rFonts w:hint="eastAsia" w:ascii="宋体" w:hAnsi="宋体" w:cs="仿宋_GB2312"/>
          <w:b/>
          <w:color w:val="000000"/>
          <w:kern w:val="0"/>
          <w:sz w:val="24"/>
        </w:rPr>
        <w:t xml:space="preserve">        </w:t>
      </w:r>
      <w:bookmarkStart w:id="133" w:name="OLE_LINK31"/>
      <w:r>
        <w:rPr>
          <w:rFonts w:hint="eastAsia" w:ascii="宋体" w:hAnsi="宋体" w:cs="仿宋_GB2312"/>
          <w:b/>
          <w:color w:val="000000"/>
          <w:kern w:val="0"/>
          <w:sz w:val="24"/>
        </w:rPr>
        <w:t xml:space="preserve"> 项目编号：</w:t>
      </w:r>
      <w:bookmarkStart w:id="134" w:name="OLE_LINK30"/>
      <w:bookmarkEnd w:id="134"/>
      <w:r>
        <w:rPr>
          <w:rFonts w:hint="eastAsia" w:ascii="宋体" w:hAnsi="宋体" w:cs="仿宋_GB2312"/>
          <w:b/>
          <w:color w:val="000000"/>
          <w:kern w:val="0"/>
          <w:sz w:val="24"/>
          <w:u w:val="single"/>
        </w:rPr>
        <w:t xml:space="preserve">                  </w:t>
      </w:r>
    </w:p>
    <w:p>
      <w:pPr>
        <w:wordWrap w:val="0"/>
        <w:ind w:firstLine="1850" w:firstLineChars="768"/>
        <w:rPr>
          <w:rFonts w:ascii="宋体" w:hAnsi="宋体" w:cs="仿宋_GB2312"/>
          <w:b/>
          <w:color w:val="000000"/>
          <w:kern w:val="0"/>
          <w:sz w:val="24"/>
        </w:rPr>
      </w:pPr>
      <w:r>
        <w:rPr>
          <w:rFonts w:hint="eastAsia" w:ascii="宋体" w:hAnsi="宋体" w:cs="仿宋_GB2312"/>
          <w:b/>
          <w:color w:val="000000"/>
          <w:kern w:val="0"/>
          <w:sz w:val="24"/>
        </w:rPr>
        <w:t xml:space="preserve">        </w:t>
      </w: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color w:val="000000"/>
          <w:kern w:val="0"/>
          <w:sz w:val="30"/>
          <w:szCs w:val="22"/>
        </w:rPr>
      </w:pPr>
    </w:p>
    <w:p>
      <w:pPr>
        <w:ind w:firstLine="1200" w:firstLineChars="400"/>
        <w:jc w:val="left"/>
        <w:rPr>
          <w:rFonts w:ascii="宋体" w:hAnsi="宋体" w:cs="仿宋_GB2312"/>
          <w:color w:val="000000"/>
          <w:kern w:val="0"/>
          <w:sz w:val="30"/>
          <w:szCs w:val="36"/>
        </w:rPr>
      </w:pPr>
    </w:p>
    <w:p>
      <w:pPr>
        <w:wordWrap w:val="0"/>
        <w:ind w:firstLine="1200" w:firstLineChars="400"/>
        <w:jc w:val="left"/>
        <w:rPr>
          <w:rFonts w:ascii="宋体" w:hAnsi="宋体" w:cs="仿宋_GB2312"/>
          <w:color w:val="000000"/>
          <w:kern w:val="0"/>
          <w:sz w:val="30"/>
          <w:szCs w:val="36"/>
          <w:u w:val="single"/>
        </w:rPr>
      </w:pPr>
      <w:r>
        <w:rPr>
          <w:rFonts w:hint="eastAsia" w:ascii="宋体" w:hAnsi="宋体" w:cs="仿宋_GB2312"/>
          <w:color w:val="000000"/>
          <w:kern w:val="0"/>
          <w:sz w:val="30"/>
          <w:szCs w:val="36"/>
        </w:rPr>
        <w:t>工程名称：</w:t>
      </w:r>
      <w:bookmarkStart w:id="135" w:name="OLE_LINK28"/>
      <w:bookmarkStart w:id="136" w:name="OLE_LINK29"/>
      <w:r>
        <w:rPr>
          <w:rFonts w:hint="eastAsia" w:ascii="宋体" w:hAnsi="宋体" w:cs="仿宋_GB2312"/>
          <w:color w:val="000000"/>
          <w:kern w:val="0"/>
          <w:sz w:val="30"/>
          <w:szCs w:val="36"/>
          <w:u w:val="single"/>
        </w:rPr>
        <w:t xml:space="preserve">                 技术标   </w:t>
      </w:r>
      <w:bookmarkEnd w:id="135"/>
      <w:bookmarkEnd w:id="136"/>
      <w:r>
        <w:rPr>
          <w:rFonts w:hint="eastAsia" w:ascii="宋体" w:hAnsi="宋体" w:cs="仿宋_GB2312"/>
          <w:color w:val="000000"/>
          <w:kern w:val="0"/>
          <w:sz w:val="30"/>
          <w:szCs w:val="36"/>
          <w:u w:val="single"/>
        </w:rPr>
        <w:t xml:space="preserve"> </w:t>
      </w:r>
    </w:p>
    <w:p>
      <w:pPr>
        <w:wordWrap w:val="0"/>
        <w:ind w:firstLine="1200" w:firstLineChars="400"/>
        <w:jc w:val="left"/>
        <w:rPr>
          <w:rFonts w:ascii="宋体" w:hAnsi="宋体" w:cs="仿宋_GB2312"/>
          <w:color w:val="000000"/>
          <w:kern w:val="0"/>
          <w:sz w:val="30"/>
          <w:szCs w:val="36"/>
          <w:u w:val="single" w:color="000000"/>
        </w:rPr>
      </w:pPr>
      <w:r>
        <w:rPr>
          <w:rFonts w:hint="eastAsia" w:ascii="宋体" w:hAnsi="宋体" w:cs="仿宋_GB2312"/>
          <w:color w:val="000000"/>
          <w:kern w:val="0"/>
          <w:sz w:val="30"/>
          <w:szCs w:val="36"/>
        </w:rPr>
        <w:t>投 标 人：</w:t>
      </w:r>
      <w:r>
        <w:rPr>
          <w:rFonts w:hint="eastAsia" w:ascii="宋体" w:hAnsi="宋体" w:cs="仿宋_GB2312"/>
          <w:color w:val="000000"/>
          <w:kern w:val="0"/>
          <w:sz w:val="30"/>
          <w:szCs w:val="36"/>
          <w:u w:val="single"/>
        </w:rPr>
        <w:t xml:space="preserve">           （盖章）           </w:t>
      </w:r>
    </w:p>
    <w:p>
      <w:pPr>
        <w:wordWrap w:val="0"/>
        <w:ind w:firstLine="1200" w:firstLineChars="400"/>
        <w:jc w:val="left"/>
        <w:rPr>
          <w:rFonts w:ascii="宋体" w:hAnsi="宋体" w:cs="仿宋_GB2312"/>
          <w:color w:val="000000"/>
          <w:kern w:val="0"/>
          <w:sz w:val="30"/>
          <w:szCs w:val="36"/>
          <w:u w:val="single"/>
        </w:rPr>
      </w:pPr>
      <w:r>
        <w:rPr>
          <w:rFonts w:hint="eastAsia" w:ascii="宋体" w:hAnsi="宋体" w:cs="仿宋_GB2312"/>
          <w:color w:val="000000"/>
          <w:kern w:val="0"/>
          <w:sz w:val="30"/>
          <w:szCs w:val="36"/>
        </w:rPr>
        <w:t>法定代表人或委托代理人:</w:t>
      </w:r>
      <w:r>
        <w:rPr>
          <w:rFonts w:hint="eastAsia" w:ascii="宋体" w:hAnsi="宋体" w:cs="仿宋_GB2312"/>
          <w:color w:val="000000"/>
          <w:kern w:val="0"/>
          <w:sz w:val="30"/>
          <w:szCs w:val="36"/>
          <w:u w:val="single"/>
        </w:rPr>
        <w:t xml:space="preserve">   （签字或盖章） </w:t>
      </w:r>
    </w:p>
    <w:p>
      <w:pPr>
        <w:jc w:val="center"/>
        <w:rPr>
          <w:rFonts w:ascii="宋体" w:hAnsi="宋体" w:cs="仿宋_GB2312"/>
          <w:color w:val="000000"/>
          <w:kern w:val="0"/>
          <w:sz w:val="30"/>
          <w:szCs w:val="22"/>
        </w:rPr>
      </w:pPr>
      <w:r>
        <w:rPr>
          <w:rFonts w:hint="eastAsia" w:ascii="宋体" w:hAnsi="宋体" w:cs="仿宋_GB2312"/>
          <w:color w:val="000000"/>
          <w:kern w:val="0"/>
          <w:sz w:val="30"/>
          <w:szCs w:val="22"/>
        </w:rPr>
        <w:t xml:space="preserve">  </w:t>
      </w:r>
    </w:p>
    <w:p>
      <w:pPr>
        <w:jc w:val="center"/>
        <w:rPr>
          <w:rFonts w:ascii="宋体" w:hAnsi="宋体" w:cs="仿宋_GB2312"/>
          <w:color w:val="000000"/>
          <w:kern w:val="0"/>
          <w:sz w:val="30"/>
          <w:szCs w:val="22"/>
        </w:rPr>
      </w:pP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年</w:t>
      </w: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月</w:t>
      </w: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日</w:t>
      </w:r>
    </w:p>
    <w:bookmarkEnd w:id="133"/>
    <w:p>
      <w:pPr>
        <w:jc w:val="center"/>
        <w:rPr>
          <w:rFonts w:ascii="宋体" w:hAnsi="宋体" w:cs="仿宋_GB2312"/>
          <w:b/>
          <w:color w:val="000000"/>
          <w:kern w:val="0"/>
          <w:sz w:val="30"/>
          <w:szCs w:val="22"/>
        </w:rPr>
      </w:pPr>
      <w:r>
        <w:rPr>
          <w:rFonts w:hint="eastAsia" w:ascii="宋体" w:hAnsi="宋体" w:cs="仿宋_GB2312"/>
          <w:b/>
          <w:color w:val="000000"/>
          <w:kern w:val="0"/>
          <w:sz w:val="30"/>
          <w:szCs w:val="22"/>
        </w:rPr>
        <w:br w:type="page"/>
      </w:r>
      <w:r>
        <w:rPr>
          <w:rFonts w:hint="eastAsia" w:ascii="宋体" w:hAnsi="宋体" w:cs="仿宋_GB2312"/>
          <w:b/>
          <w:color w:val="000000"/>
          <w:kern w:val="0"/>
          <w:sz w:val="30"/>
          <w:szCs w:val="22"/>
        </w:rPr>
        <w:t>目  录</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（1）法定代表人身份证明书</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（2）法定代表人授权委托书</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（3）投标函及附录</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（4）资格证明文件及其他资料</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1）企业基本情况表</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2）企业法人营业执照、证书等</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3）拟派项目班子成员汇总表</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4）项目班子成员简历表，附职称证书、社保证明等。</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（5）施工组织设计</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w:t>
      </w:r>
      <w:r>
        <w:rPr>
          <w:rFonts w:ascii="宋体" w:hAnsi="宋体" w:cs="仿宋_GB2312"/>
          <w:color w:val="000000"/>
          <w:kern w:val="0"/>
          <w:sz w:val="24"/>
        </w:rPr>
        <w:t>6</w:t>
      </w:r>
      <w:r>
        <w:rPr>
          <w:rFonts w:hint="eastAsia" w:ascii="宋体" w:hAnsi="宋体" w:cs="仿宋_GB2312"/>
          <w:color w:val="000000"/>
          <w:kern w:val="0"/>
          <w:sz w:val="24"/>
        </w:rPr>
        <w:t>）投标承诺函</w:t>
      </w:r>
    </w:p>
    <w:p>
      <w:pPr>
        <w:spacing w:line="500" w:lineRule="exact"/>
        <w:ind w:firstLine="480"/>
        <w:jc w:val="left"/>
        <w:rPr>
          <w:rFonts w:ascii="宋体" w:hAnsi="宋体" w:cs="仿宋_GB2312"/>
          <w:color w:val="000000"/>
          <w:kern w:val="0"/>
          <w:sz w:val="24"/>
        </w:rPr>
      </w:pPr>
    </w:p>
    <w:p>
      <w:pPr>
        <w:spacing w:line="500" w:lineRule="exact"/>
        <w:jc w:val="left"/>
        <w:rPr>
          <w:rFonts w:ascii="宋体" w:hAnsi="宋体" w:cs="仿宋_GB2312"/>
          <w:color w:val="000000"/>
          <w:kern w:val="0"/>
          <w:sz w:val="24"/>
        </w:rPr>
      </w:pPr>
    </w:p>
    <w:p>
      <w:pPr>
        <w:keepNext/>
        <w:keepLines/>
        <w:spacing w:before="48" w:beforeLines="20" w:after="48" w:afterLines="20" w:line="360" w:lineRule="auto"/>
        <w:jc w:val="center"/>
        <w:outlineLvl w:val="2"/>
        <w:rPr>
          <w:rFonts w:ascii="宋体" w:hAnsi="宋体" w:cs="仿宋_GB2312"/>
          <w:b/>
          <w:bCs/>
          <w:color w:val="000000"/>
          <w:kern w:val="0"/>
          <w:sz w:val="32"/>
          <w:szCs w:val="32"/>
        </w:rPr>
      </w:pPr>
      <w:r>
        <w:rPr>
          <w:rFonts w:hint="eastAsia" w:ascii="宋体" w:hAnsi="宋体" w:cs="仿宋_GB2312"/>
          <w:color w:val="000000"/>
          <w:kern w:val="0"/>
          <w:sz w:val="32"/>
          <w:szCs w:val="32"/>
        </w:rPr>
        <w:br w:type="page"/>
      </w:r>
      <w:bookmarkStart w:id="137" w:name="_Toc293647949"/>
      <w:bookmarkStart w:id="138" w:name="_Toc299624999"/>
      <w:bookmarkStart w:id="139" w:name="_Toc297543284"/>
      <w:bookmarkStart w:id="140" w:name="OLE_LINK32"/>
      <w:r>
        <w:rPr>
          <w:rFonts w:hint="eastAsia" w:ascii="宋体" w:hAnsi="宋体" w:cs="仿宋_GB2312"/>
          <w:b/>
          <w:bCs/>
          <w:color w:val="000000"/>
          <w:kern w:val="0"/>
          <w:sz w:val="24"/>
        </w:rPr>
        <w:t>一、法定代表人身份证明书</w:t>
      </w:r>
      <w:bookmarkEnd w:id="137"/>
      <w:bookmarkEnd w:id="138"/>
      <w:bookmarkEnd w:id="139"/>
      <w:r>
        <w:rPr>
          <w:rFonts w:hint="eastAsia" w:ascii="宋体" w:hAnsi="宋体" w:cs="仿宋_GB2312"/>
          <w:b/>
          <w:bCs/>
          <w:color w:val="000000"/>
          <w:kern w:val="0"/>
          <w:sz w:val="24"/>
        </w:rPr>
        <w:t>(除响应文件中提供外，另手持一份)</w:t>
      </w:r>
    </w:p>
    <w:p>
      <w:pPr>
        <w:snapToGrid w:val="0"/>
        <w:spacing w:line="360" w:lineRule="auto"/>
        <w:ind w:firstLine="610"/>
        <w:jc w:val="left"/>
        <w:rPr>
          <w:rFonts w:ascii="宋体" w:hAnsi="宋体" w:cs="仿宋_GB2312"/>
          <w:color w:val="000000"/>
          <w:kern w:val="0"/>
          <w:sz w:val="24"/>
          <w:szCs w:val="22"/>
        </w:rPr>
      </w:pPr>
    </w:p>
    <w:p>
      <w:pPr>
        <w:wordWrap w:val="0"/>
        <w:snapToGrid w:val="0"/>
        <w:spacing w:line="360" w:lineRule="auto"/>
        <w:ind w:firstLine="612"/>
        <w:jc w:val="left"/>
        <w:rPr>
          <w:rFonts w:ascii="宋体" w:hAnsi="宋体" w:cs="仿宋_GB2312"/>
          <w:color w:val="000000"/>
          <w:kern w:val="0"/>
          <w:sz w:val="24"/>
          <w:szCs w:val="22"/>
        </w:rPr>
      </w:pPr>
      <w:r>
        <w:rPr>
          <w:rFonts w:hint="eastAsia" w:ascii="宋体" w:hAnsi="宋体" w:cs="仿宋_GB2312"/>
          <w:color w:val="000000"/>
          <w:kern w:val="0"/>
          <w:sz w:val="24"/>
          <w:szCs w:val="22"/>
        </w:rPr>
        <w:t>单位名称：</w:t>
      </w:r>
      <w:r>
        <w:rPr>
          <w:rFonts w:hint="eastAsia" w:ascii="宋体" w:hAnsi="宋体" w:cs="仿宋_GB2312"/>
          <w:color w:val="000000"/>
          <w:kern w:val="0"/>
          <w:sz w:val="24"/>
          <w:szCs w:val="22"/>
          <w:u w:val="single"/>
        </w:rPr>
        <w:t xml:space="preserve">                                              </w:t>
      </w:r>
    </w:p>
    <w:p>
      <w:pPr>
        <w:wordWrap w:val="0"/>
        <w:snapToGrid w:val="0"/>
        <w:spacing w:line="360" w:lineRule="auto"/>
        <w:ind w:firstLine="612"/>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单位性质：</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地    址：</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成立时间：</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年 </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月 </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日</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经营期限：</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姓    名：</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性别：</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年    龄：</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职务：</w:t>
      </w:r>
      <w:r>
        <w:rPr>
          <w:rFonts w:hint="eastAsia" w:ascii="宋体" w:hAnsi="宋体" w:cs="仿宋_GB2312"/>
          <w:color w:val="000000"/>
          <w:kern w:val="0"/>
          <w:sz w:val="24"/>
          <w:szCs w:val="22"/>
        </w:rPr>
        <w:tab/>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 xml:space="preserve">系  </w:t>
      </w:r>
      <w:r>
        <w:rPr>
          <w:rFonts w:hint="eastAsia" w:ascii="宋体" w:hAnsi="宋体" w:cs="仿宋_GB2312"/>
          <w:color w:val="000000"/>
          <w:kern w:val="0"/>
          <w:sz w:val="24"/>
          <w:szCs w:val="22"/>
          <w:u w:val="single"/>
        </w:rPr>
        <w:t xml:space="preserve">                      （供应商单位名称）</w:t>
      </w:r>
      <w:r>
        <w:rPr>
          <w:rFonts w:hint="eastAsia" w:ascii="宋体" w:hAnsi="宋体" w:cs="仿宋_GB2312"/>
          <w:color w:val="000000"/>
          <w:kern w:val="0"/>
          <w:sz w:val="24"/>
          <w:szCs w:val="22"/>
        </w:rPr>
        <w:t>的法定代表人。</w:t>
      </w:r>
    </w:p>
    <w:p>
      <w:pPr>
        <w:snapToGrid w:val="0"/>
        <w:spacing w:after="120" w:line="360" w:lineRule="auto"/>
        <w:ind w:left="53" w:leftChars="25" w:firstLine="600" w:firstLineChars="250"/>
        <w:rPr>
          <w:rFonts w:ascii="宋体" w:hAnsi="宋体" w:cs="仿宋_GB2312"/>
          <w:color w:val="000000"/>
          <w:kern w:val="0"/>
        </w:rPr>
      </w:pPr>
      <w:r>
        <w:rPr>
          <w:rFonts w:hint="eastAsia" w:ascii="宋体" w:hAnsi="宋体" w:cs="仿宋_GB2312"/>
          <w:color w:val="000000"/>
          <w:kern w:val="0"/>
          <w:sz w:val="24"/>
        </w:rPr>
        <w:t>特此证明。</w:t>
      </w:r>
    </w:p>
    <w:p>
      <w:pPr>
        <w:tabs>
          <w:tab w:val="left" w:pos="720"/>
          <w:tab w:val="left" w:pos="900"/>
        </w:tabs>
        <w:snapToGrid w:val="0"/>
        <w:spacing w:line="360" w:lineRule="auto"/>
        <w:ind w:firstLine="708" w:firstLineChars="294"/>
        <w:jc w:val="left"/>
        <w:rPr>
          <w:rFonts w:ascii="宋体" w:hAnsi="宋体" w:cs="仿宋_GB2312"/>
          <w:color w:val="000000"/>
          <w:kern w:val="0"/>
          <w:sz w:val="24"/>
          <w:szCs w:val="22"/>
        </w:rPr>
      </w:pPr>
      <w:r>
        <w:rPr>
          <w:rFonts w:hint="eastAsia" w:ascii="宋体" w:hAnsi="宋体" w:cs="仿宋_GB2312"/>
          <w:b/>
          <w:color w:val="000000"/>
          <w:kern w:val="0"/>
          <w:sz w:val="24"/>
        </w:rPr>
        <w:t>后附法定代表人身份证复印件。</w:t>
      </w:r>
    </w:p>
    <w:p>
      <w:pPr>
        <w:tabs>
          <w:tab w:val="left" w:pos="720"/>
          <w:tab w:val="left" w:pos="900"/>
        </w:tabs>
        <w:snapToGrid w:val="0"/>
        <w:spacing w:line="360" w:lineRule="auto"/>
        <w:ind w:firstLine="3840" w:firstLineChars="1600"/>
        <w:jc w:val="left"/>
        <w:rPr>
          <w:rFonts w:ascii="宋体" w:hAnsi="宋体" w:cs="仿宋_GB2312"/>
          <w:color w:val="000000"/>
          <w:kern w:val="0"/>
          <w:sz w:val="24"/>
          <w:szCs w:val="22"/>
        </w:rPr>
      </w:pPr>
      <w:r>
        <w:rPr>
          <w:rFonts w:hint="eastAsia" w:ascii="宋体" w:hAnsi="宋体" w:cs="仿宋_GB2312"/>
          <w:color w:val="000000"/>
          <w:kern w:val="0"/>
          <w:sz w:val="24"/>
          <w:szCs w:val="22"/>
        </w:rPr>
        <w:t>供应商：</w:t>
      </w:r>
      <w:r>
        <w:rPr>
          <w:rFonts w:hint="eastAsia" w:ascii="宋体" w:hAnsi="宋体" w:cs="仿宋_GB2312"/>
          <w:color w:val="000000"/>
          <w:kern w:val="0"/>
          <w:sz w:val="24"/>
          <w:szCs w:val="22"/>
          <w:u w:val="single"/>
        </w:rPr>
        <w:t xml:space="preserve">             （盖公章）</w:t>
      </w:r>
    </w:p>
    <w:p>
      <w:pPr>
        <w:snapToGrid w:val="0"/>
        <w:spacing w:line="360" w:lineRule="auto"/>
        <w:ind w:firstLine="3840" w:firstLineChars="1600"/>
        <w:jc w:val="left"/>
        <w:rPr>
          <w:rFonts w:ascii="宋体" w:hAnsi="宋体" w:cs="仿宋_GB2312"/>
          <w:b/>
          <w:color w:val="000000"/>
          <w:kern w:val="0"/>
          <w:sz w:val="24"/>
          <w:szCs w:val="22"/>
        </w:rPr>
      </w:pPr>
      <w:r>
        <w:rPr>
          <w:rFonts w:hint="eastAsia" w:ascii="宋体" w:hAnsi="宋体" w:cs="仿宋_GB2312"/>
          <w:color w:val="000000"/>
          <w:kern w:val="0"/>
          <w:sz w:val="24"/>
          <w:szCs w:val="22"/>
        </w:rPr>
        <w:t>日  期：</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年</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月</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日</w:t>
      </w: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rPr>
      </w:pPr>
    </w:p>
    <w:p>
      <w:pPr>
        <w:snapToGrid w:val="0"/>
        <w:spacing w:line="360" w:lineRule="auto"/>
        <w:jc w:val="center"/>
        <w:rPr>
          <w:rFonts w:ascii="宋体" w:hAnsi="宋体" w:cs="仿宋_GB2312"/>
          <w:b/>
          <w:bCs/>
          <w:color w:val="000000"/>
          <w:kern w:val="0"/>
          <w:sz w:val="24"/>
        </w:rPr>
      </w:pPr>
      <w:r>
        <w:rPr>
          <w:rFonts w:hint="eastAsia" w:ascii="宋体" w:hAnsi="宋体" w:cs="仿宋_GB2312"/>
          <w:b/>
          <w:bCs/>
          <w:color w:val="000000"/>
          <w:kern w:val="0"/>
          <w:sz w:val="24"/>
        </w:rPr>
        <w:t>二、法定代表人授权书(除响应文件中提供外，另手持一份)</w:t>
      </w:r>
    </w:p>
    <w:p>
      <w:pPr>
        <w:snapToGrid w:val="0"/>
        <w:spacing w:line="360" w:lineRule="auto"/>
        <w:jc w:val="left"/>
        <w:rPr>
          <w:rFonts w:ascii="宋体" w:hAnsi="宋体" w:cs="仿宋_GB2312"/>
          <w:color w:val="000000"/>
          <w:kern w:val="0"/>
          <w:sz w:val="24"/>
          <w:szCs w:val="22"/>
          <w:u w:val="single"/>
        </w:rPr>
      </w:pPr>
    </w:p>
    <w:p>
      <w:pPr>
        <w:snapToGrid w:val="0"/>
        <w:spacing w:line="360" w:lineRule="auto"/>
        <w:jc w:val="left"/>
        <w:rPr>
          <w:rFonts w:ascii="宋体" w:hAnsi="宋体" w:cs="仿宋_GB2312"/>
          <w:bCs/>
          <w:color w:val="000000"/>
          <w:kern w:val="0"/>
          <w:sz w:val="24"/>
        </w:rPr>
      </w:pPr>
      <w:r>
        <w:rPr>
          <w:rFonts w:hint="eastAsia" w:ascii="宋体" w:hAnsi="宋体" w:cs="仿宋_GB2312"/>
          <w:color w:val="000000"/>
          <w:kern w:val="0"/>
          <w:sz w:val="24"/>
          <w:szCs w:val="22"/>
          <w:u w:val="single"/>
        </w:rPr>
        <w:t xml:space="preserve">                </w:t>
      </w:r>
      <w:r>
        <w:rPr>
          <w:rFonts w:hint="eastAsia" w:ascii="宋体" w:hAnsi="宋体" w:cs="仿宋_GB2312"/>
          <w:bCs/>
          <w:color w:val="000000"/>
          <w:kern w:val="0"/>
          <w:sz w:val="24"/>
        </w:rPr>
        <w:t>：</w:t>
      </w:r>
    </w:p>
    <w:p>
      <w:pPr>
        <w:snapToGrid w:val="0"/>
        <w:spacing w:line="360" w:lineRule="auto"/>
        <w:jc w:val="left"/>
        <w:rPr>
          <w:rFonts w:ascii="宋体" w:hAnsi="宋体" w:cs="仿宋_GB2312"/>
          <w:color w:val="000000"/>
          <w:kern w:val="0"/>
          <w:sz w:val="24"/>
        </w:rPr>
      </w:pPr>
      <w:r>
        <w:rPr>
          <w:rFonts w:hint="eastAsia" w:ascii="宋体" w:hAnsi="宋体" w:cs="仿宋_GB2312"/>
          <w:color w:val="000000"/>
          <w:kern w:val="0"/>
          <w:sz w:val="24"/>
        </w:rPr>
        <w:t xml:space="preserve">     本授权书声明：注册于</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(供应商注册地名)的</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w:t>
      </w:r>
      <w:r>
        <w:rPr>
          <w:rFonts w:hint="eastAsia" w:ascii="宋体" w:hAnsi="宋体" w:cs="仿宋_GB2312"/>
          <w:color w:val="000000"/>
          <w:kern w:val="0"/>
          <w:sz w:val="24"/>
          <w:szCs w:val="22"/>
        </w:rPr>
        <w:t>供应商单位名称)</w:t>
      </w:r>
      <w:r>
        <w:rPr>
          <w:rFonts w:hint="eastAsia" w:ascii="宋体" w:hAnsi="宋体" w:cs="仿宋_GB2312"/>
          <w:color w:val="000000"/>
          <w:kern w:val="0"/>
          <w:sz w:val="24"/>
        </w:rPr>
        <w:t>的</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（法定代表人姓名、职务）代表本公司授权</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(被授权人的姓名、职务)为本公司的合法代理人，参加</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(工程名称及备案编号)的招标活动，全权代表我单位签署响应文件，签署合同及处理一切与招标有关的事宜。</w:t>
      </w:r>
    </w:p>
    <w:p>
      <w:pPr>
        <w:spacing w:line="500" w:lineRule="exact"/>
        <w:jc w:val="left"/>
        <w:rPr>
          <w:rFonts w:ascii="宋体" w:hAnsi="宋体" w:cs="仿宋_GB2312"/>
          <w:b/>
          <w:color w:val="000000"/>
          <w:kern w:val="0"/>
          <w:sz w:val="24"/>
        </w:rPr>
      </w:pPr>
      <w:r>
        <w:rPr>
          <w:rFonts w:hint="eastAsia" w:ascii="宋体" w:hAnsi="宋体" w:cs="仿宋_GB2312"/>
          <w:b/>
          <w:color w:val="000000"/>
          <w:kern w:val="0"/>
          <w:sz w:val="24"/>
        </w:rPr>
        <w:t xml:space="preserve">   </w:t>
      </w:r>
    </w:p>
    <w:p>
      <w:pPr>
        <w:spacing w:line="500" w:lineRule="exact"/>
        <w:jc w:val="left"/>
        <w:rPr>
          <w:rFonts w:ascii="宋体" w:hAnsi="宋体" w:cs="仿宋_GB2312"/>
          <w:b/>
          <w:color w:val="000000"/>
          <w:kern w:val="0"/>
          <w:sz w:val="24"/>
        </w:rPr>
      </w:pPr>
      <w:r>
        <w:rPr>
          <w:rFonts w:hint="eastAsia" w:ascii="宋体" w:hAnsi="宋体" w:cs="仿宋_GB2312"/>
          <w:b/>
          <w:color w:val="000000"/>
          <w:kern w:val="0"/>
          <w:sz w:val="24"/>
        </w:rPr>
        <w:t xml:space="preserve">  后附委托代理人身份证复印件。</w:t>
      </w:r>
    </w:p>
    <w:p>
      <w:pPr>
        <w:spacing w:line="500" w:lineRule="exact"/>
        <w:ind w:firstLine="1680" w:firstLineChars="700"/>
        <w:jc w:val="left"/>
        <w:rPr>
          <w:rFonts w:ascii="宋体" w:hAnsi="宋体" w:cs="仿宋_GB2312"/>
          <w:color w:val="000000"/>
          <w:kern w:val="0"/>
          <w:sz w:val="24"/>
        </w:rPr>
      </w:pPr>
      <w:r>
        <w:rPr>
          <w:rFonts w:hint="eastAsia" w:ascii="宋体" w:hAnsi="宋体" w:cs="仿宋_GB2312"/>
          <w:color w:val="000000"/>
          <w:kern w:val="0"/>
          <w:sz w:val="24"/>
        </w:rPr>
        <w:t xml:space="preserve">           </w:t>
      </w:r>
    </w:p>
    <w:p>
      <w:pPr>
        <w:spacing w:line="500" w:lineRule="exact"/>
        <w:ind w:firstLine="1680" w:firstLineChars="700"/>
        <w:jc w:val="left"/>
        <w:rPr>
          <w:rFonts w:ascii="宋体" w:hAnsi="宋体" w:cs="仿宋_GB2312"/>
          <w:color w:val="000000"/>
          <w:kern w:val="0"/>
          <w:sz w:val="24"/>
          <w:szCs w:val="22"/>
        </w:rPr>
      </w:pPr>
      <w:r>
        <w:rPr>
          <w:rFonts w:hint="eastAsia" w:ascii="宋体" w:hAnsi="宋体" w:cs="仿宋_GB2312"/>
          <w:color w:val="000000"/>
          <w:kern w:val="0"/>
          <w:sz w:val="24"/>
        </w:rPr>
        <w:t xml:space="preserve">           </w:t>
      </w:r>
      <w:r>
        <w:rPr>
          <w:rFonts w:hint="eastAsia" w:ascii="宋体" w:hAnsi="宋体" w:cs="仿宋_GB2312"/>
          <w:color w:val="000000"/>
          <w:kern w:val="0"/>
          <w:sz w:val="24"/>
          <w:szCs w:val="22"/>
        </w:rPr>
        <w:t>供应商：</w:t>
      </w:r>
      <w:r>
        <w:rPr>
          <w:rFonts w:hint="eastAsia" w:ascii="宋体" w:hAnsi="宋体" w:cs="仿宋_GB2312"/>
          <w:color w:val="000000"/>
          <w:kern w:val="0"/>
          <w:sz w:val="24"/>
          <w:szCs w:val="22"/>
          <w:u w:val="single"/>
        </w:rPr>
        <w:t xml:space="preserve">             （盖公章）</w:t>
      </w:r>
    </w:p>
    <w:p>
      <w:pPr>
        <w:wordWrap w:val="0"/>
        <w:spacing w:line="500" w:lineRule="exact"/>
        <w:ind w:firstLine="1680" w:firstLineChars="700"/>
        <w:jc w:val="left"/>
        <w:rPr>
          <w:rFonts w:ascii="宋体" w:hAnsi="宋体" w:cs="仿宋_GB2312"/>
          <w:color w:val="000000"/>
          <w:kern w:val="0"/>
          <w:sz w:val="24"/>
          <w:u w:val="single"/>
        </w:rPr>
      </w:pPr>
      <w:r>
        <w:rPr>
          <w:rFonts w:hint="eastAsia" w:ascii="宋体" w:hAnsi="宋体" w:cs="仿宋_GB2312"/>
          <w:color w:val="000000"/>
          <w:kern w:val="0"/>
          <w:sz w:val="24"/>
        </w:rPr>
        <w:t xml:space="preserve">           法定代表人签字或盖章： </w:t>
      </w:r>
      <w:r>
        <w:rPr>
          <w:rFonts w:hint="eastAsia" w:ascii="宋体" w:hAnsi="宋体" w:cs="仿宋_GB2312"/>
          <w:color w:val="000000"/>
          <w:kern w:val="0"/>
          <w:sz w:val="24"/>
          <w:u w:val="single"/>
        </w:rPr>
        <w:t xml:space="preserve">                         </w:t>
      </w:r>
    </w:p>
    <w:p>
      <w:pPr>
        <w:wordWrap w:val="0"/>
        <w:spacing w:line="500" w:lineRule="exact"/>
        <w:ind w:firstLine="1680" w:firstLineChars="700"/>
        <w:jc w:val="left"/>
        <w:rPr>
          <w:rFonts w:ascii="宋体" w:hAnsi="宋体" w:cs="仿宋_GB2312"/>
          <w:color w:val="000000"/>
          <w:kern w:val="0"/>
          <w:sz w:val="24"/>
        </w:rPr>
      </w:pPr>
      <w:r>
        <w:rPr>
          <w:rFonts w:hint="eastAsia" w:ascii="宋体" w:hAnsi="宋体" w:cs="仿宋_GB2312"/>
          <w:color w:val="000000"/>
          <w:kern w:val="0"/>
          <w:sz w:val="24"/>
        </w:rPr>
        <w:t xml:space="preserve">           代理人（被授权人）签字或盖章：</w:t>
      </w:r>
      <w:r>
        <w:rPr>
          <w:rFonts w:hint="eastAsia" w:ascii="宋体" w:hAnsi="宋体" w:cs="仿宋_GB2312"/>
          <w:color w:val="000000"/>
          <w:kern w:val="0"/>
          <w:sz w:val="24"/>
          <w:u w:val="single"/>
        </w:rPr>
        <w:t xml:space="preserve">                     </w:t>
      </w:r>
    </w:p>
    <w:p>
      <w:pPr>
        <w:wordWrap w:val="0"/>
        <w:spacing w:line="500" w:lineRule="exact"/>
        <w:ind w:firstLine="1680" w:firstLineChars="700"/>
        <w:jc w:val="left"/>
        <w:rPr>
          <w:rFonts w:ascii="宋体" w:hAnsi="宋体" w:cs="仿宋_GB2312"/>
          <w:color w:val="000000"/>
          <w:kern w:val="0"/>
          <w:sz w:val="24"/>
          <w:u w:val="single"/>
        </w:rPr>
      </w:pPr>
      <w:r>
        <w:rPr>
          <w:rFonts w:hint="eastAsia" w:ascii="宋体" w:hAnsi="宋体" w:cs="仿宋_GB2312"/>
          <w:color w:val="000000"/>
          <w:kern w:val="0"/>
          <w:sz w:val="24"/>
        </w:rPr>
        <w:t xml:space="preserve">           被授权人职务：</w:t>
      </w:r>
      <w:r>
        <w:rPr>
          <w:rFonts w:hint="eastAsia" w:ascii="宋体" w:hAnsi="宋体" w:cs="仿宋_GB2312"/>
          <w:color w:val="000000"/>
          <w:kern w:val="0"/>
          <w:sz w:val="24"/>
          <w:u w:val="single"/>
        </w:rPr>
        <w:t xml:space="preserve">          </w:t>
      </w:r>
    </w:p>
    <w:p>
      <w:pPr>
        <w:wordWrap w:val="0"/>
        <w:spacing w:line="500" w:lineRule="exact"/>
        <w:ind w:firstLine="3000" w:firstLineChars="1250"/>
        <w:jc w:val="left"/>
        <w:rPr>
          <w:rFonts w:ascii="宋体" w:hAnsi="宋体" w:cs="仿宋_GB2312"/>
          <w:color w:val="000000"/>
          <w:kern w:val="0"/>
          <w:sz w:val="24"/>
          <w:u w:val="single"/>
        </w:rPr>
      </w:pPr>
      <w:r>
        <w:rPr>
          <w:rFonts w:hint="eastAsia" w:ascii="宋体" w:hAnsi="宋体" w:cs="仿宋_GB2312"/>
          <w:color w:val="000000"/>
          <w:kern w:val="0"/>
          <w:sz w:val="24"/>
        </w:rPr>
        <w:t>身份证号码：</w:t>
      </w:r>
      <w:r>
        <w:rPr>
          <w:rFonts w:hint="eastAsia" w:ascii="宋体" w:hAnsi="宋体" w:cs="仿宋_GB2312"/>
          <w:color w:val="000000"/>
          <w:kern w:val="0"/>
          <w:sz w:val="24"/>
          <w:u w:val="single"/>
        </w:rPr>
        <w:t xml:space="preserve">                     </w:t>
      </w:r>
    </w:p>
    <w:p>
      <w:pPr>
        <w:spacing w:line="500" w:lineRule="exact"/>
        <w:ind w:firstLine="2880" w:firstLineChars="1200"/>
        <w:jc w:val="left"/>
        <w:rPr>
          <w:rFonts w:ascii="宋体" w:hAnsi="宋体" w:cs="仿宋_GB2312"/>
          <w:color w:val="000000"/>
          <w:kern w:val="0"/>
          <w:sz w:val="24"/>
          <w:u w:val="single"/>
        </w:rPr>
      </w:pPr>
      <w:r>
        <w:rPr>
          <w:rFonts w:hint="eastAsia" w:ascii="宋体" w:hAnsi="宋体" w:cs="仿宋_GB2312"/>
          <w:color w:val="000000"/>
          <w:kern w:val="0"/>
          <w:sz w:val="24"/>
        </w:rPr>
        <w:t xml:space="preserve">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月</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日</w:t>
      </w:r>
    </w:p>
    <w:p>
      <w:pPr>
        <w:snapToGrid w:val="0"/>
        <w:spacing w:line="360" w:lineRule="auto"/>
        <w:jc w:val="center"/>
        <w:rPr>
          <w:rFonts w:ascii="宋体" w:hAnsi="宋体" w:cs="仿宋_GB2312"/>
          <w:b/>
          <w:color w:val="000000"/>
          <w:kern w:val="0"/>
          <w:sz w:val="24"/>
          <w:szCs w:val="22"/>
        </w:rPr>
      </w:pPr>
      <w:r>
        <w:rPr>
          <w:rFonts w:hint="eastAsia" w:ascii="宋体" w:hAnsi="宋体" w:cs="仿宋_GB2312"/>
          <w:b/>
          <w:bCs/>
          <w:color w:val="000000"/>
          <w:kern w:val="0"/>
          <w:sz w:val="24"/>
          <w:szCs w:val="22"/>
        </w:rPr>
        <w:br w:type="page"/>
      </w:r>
      <w:bookmarkEnd w:id="140"/>
      <w:r>
        <w:rPr>
          <w:rFonts w:hint="eastAsia" w:ascii="宋体" w:hAnsi="宋体" w:cs="仿宋_GB2312"/>
          <w:b/>
          <w:bCs/>
          <w:color w:val="000000"/>
          <w:kern w:val="0"/>
          <w:sz w:val="24"/>
          <w:szCs w:val="22"/>
        </w:rPr>
        <w:t>三、</w:t>
      </w:r>
      <w:r>
        <w:rPr>
          <w:rFonts w:hint="eastAsia" w:ascii="宋体" w:hAnsi="宋体" w:cs="仿宋_GB2312"/>
          <w:b/>
          <w:color w:val="000000"/>
          <w:kern w:val="0"/>
          <w:sz w:val="24"/>
          <w:szCs w:val="22"/>
        </w:rPr>
        <w:t>投  标  函</w:t>
      </w:r>
    </w:p>
    <w:p>
      <w:pPr>
        <w:spacing w:line="320" w:lineRule="exact"/>
        <w:jc w:val="left"/>
        <w:rPr>
          <w:rFonts w:ascii="宋体" w:hAnsi="宋体" w:cs="仿宋_GB2312"/>
          <w:color w:val="000000"/>
          <w:kern w:val="0"/>
          <w:sz w:val="24"/>
        </w:rPr>
      </w:pPr>
      <w:r>
        <w:rPr>
          <w:rFonts w:hint="eastAsia" w:ascii="宋体" w:hAnsi="宋体" w:cs="仿宋_GB2312"/>
          <w:color w:val="000000"/>
          <w:kern w:val="0"/>
          <w:sz w:val="24"/>
        </w:rPr>
        <w:t>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（招标人名称）</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1.我方已仔细研究了</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（备案编号）</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（项目名称）施工</w:t>
      </w:r>
      <w:r>
        <w:rPr>
          <w:rFonts w:hint="eastAsia" w:ascii="宋体" w:hAnsi="宋体" w:cs="仿宋_GB2312"/>
          <w:color w:val="000000"/>
          <w:kern w:val="0"/>
          <w:sz w:val="24"/>
          <w:lang w:eastAsia="zh-CN"/>
        </w:rPr>
        <w:t>招标</w:t>
      </w:r>
      <w:r>
        <w:rPr>
          <w:rFonts w:hint="eastAsia" w:ascii="宋体" w:hAnsi="宋体" w:cs="仿宋_GB2312"/>
          <w:color w:val="000000"/>
          <w:kern w:val="0"/>
          <w:sz w:val="24"/>
        </w:rPr>
        <w:t>文件的全部内容，经考察项目现场和研究上述工程</w:t>
      </w:r>
      <w:r>
        <w:rPr>
          <w:rFonts w:hint="eastAsia" w:ascii="宋体" w:hAnsi="宋体" w:cs="仿宋_GB2312"/>
          <w:color w:val="000000"/>
          <w:kern w:val="0"/>
          <w:sz w:val="24"/>
          <w:lang w:eastAsia="zh-CN"/>
        </w:rPr>
        <w:t>招标</w:t>
      </w:r>
      <w:r>
        <w:rPr>
          <w:rFonts w:hint="eastAsia" w:ascii="宋体" w:hAnsi="宋体" w:cs="仿宋_GB2312"/>
          <w:color w:val="000000"/>
          <w:kern w:val="0"/>
          <w:sz w:val="24"/>
        </w:rPr>
        <w:t>文件要求及其他招标资料后，愿意以</w:t>
      </w:r>
      <w:r>
        <w:rPr>
          <w:rFonts w:hint="eastAsia" w:ascii="宋体" w:hAnsi="宋体" w:cs="仿宋_GB2312"/>
          <w:b/>
          <w:color w:val="000000"/>
          <w:kern w:val="0"/>
          <w:sz w:val="24"/>
          <w:u w:val="single"/>
        </w:rPr>
        <w:t>商务标中确定的投标总报价</w:t>
      </w:r>
      <w:r>
        <w:rPr>
          <w:rFonts w:hint="eastAsia" w:ascii="宋体" w:hAnsi="宋体" w:cs="仿宋_GB2312"/>
          <w:color w:val="000000"/>
          <w:kern w:val="0"/>
          <w:sz w:val="24"/>
        </w:rPr>
        <w:t>，</w:t>
      </w:r>
      <w:r>
        <w:rPr>
          <w:rFonts w:hint="eastAsia" w:ascii="宋体" w:hAnsi="宋体" w:cs="仿宋_GB2312"/>
          <w:b/>
          <w:color w:val="000000"/>
          <w:kern w:val="0"/>
          <w:sz w:val="24"/>
        </w:rPr>
        <w:t>总工期</w:t>
      </w:r>
      <w:r>
        <w:rPr>
          <w:rFonts w:hint="eastAsia" w:ascii="宋体" w:hAnsi="宋体" w:cs="仿宋_GB2312"/>
          <w:b/>
          <w:color w:val="000000"/>
          <w:kern w:val="0"/>
          <w:sz w:val="24"/>
          <w:u w:val="single"/>
        </w:rPr>
        <w:t xml:space="preserve">       </w:t>
      </w:r>
      <w:r>
        <w:rPr>
          <w:rFonts w:hint="eastAsia" w:ascii="宋体" w:hAnsi="宋体" w:cs="仿宋_GB2312"/>
          <w:b/>
          <w:color w:val="000000"/>
          <w:kern w:val="0"/>
          <w:sz w:val="24"/>
        </w:rPr>
        <w:t>日历天</w:t>
      </w:r>
      <w:r>
        <w:rPr>
          <w:rFonts w:hint="eastAsia" w:ascii="宋体" w:hAnsi="宋体" w:cs="仿宋_GB2312"/>
          <w:color w:val="000000"/>
          <w:kern w:val="0"/>
          <w:sz w:val="24"/>
        </w:rPr>
        <w:t>，按合同约定实施和完成承包工期，修补工程中的任何缺陷，</w:t>
      </w:r>
      <w:r>
        <w:rPr>
          <w:rFonts w:hint="eastAsia" w:ascii="宋体" w:hAnsi="宋体" w:cs="仿宋_GB2312"/>
          <w:b/>
          <w:color w:val="000000"/>
          <w:kern w:val="0"/>
          <w:sz w:val="24"/>
        </w:rPr>
        <w:t>工程质量达到</w:t>
      </w:r>
      <w:r>
        <w:rPr>
          <w:rFonts w:hint="eastAsia" w:ascii="宋体" w:hAnsi="宋体" w:cs="仿宋_GB2312"/>
          <w:b/>
          <w:color w:val="000000"/>
          <w:kern w:val="0"/>
          <w:sz w:val="24"/>
          <w:u w:val="single"/>
        </w:rPr>
        <w:t xml:space="preserve"> 合格 </w:t>
      </w:r>
      <w:r>
        <w:rPr>
          <w:rFonts w:hint="eastAsia" w:ascii="宋体" w:hAnsi="宋体" w:cs="仿宋_GB2312"/>
          <w:b/>
          <w:color w:val="000000"/>
          <w:kern w:val="0"/>
          <w:sz w:val="24"/>
        </w:rPr>
        <w:t>标准，质保期</w:t>
      </w:r>
      <w:r>
        <w:rPr>
          <w:rFonts w:hint="eastAsia" w:ascii="宋体" w:hAnsi="宋体" w:cs="仿宋_GB2312"/>
          <w:b/>
          <w:color w:val="000000"/>
          <w:kern w:val="0"/>
          <w:sz w:val="24"/>
          <w:u w:val="single"/>
        </w:rPr>
        <w:t xml:space="preserve">     </w:t>
      </w:r>
      <w:r>
        <w:rPr>
          <w:rFonts w:hint="eastAsia" w:ascii="宋体" w:hAnsi="宋体" w:cs="仿宋_GB2312"/>
          <w:b/>
          <w:color w:val="000000"/>
          <w:kern w:val="0"/>
          <w:sz w:val="24"/>
        </w:rPr>
        <w:t>年</w:t>
      </w:r>
      <w:r>
        <w:rPr>
          <w:rFonts w:hint="eastAsia" w:ascii="宋体" w:hAnsi="宋体" w:cs="仿宋_GB2312"/>
          <w:color w:val="000000"/>
          <w:kern w:val="0"/>
          <w:sz w:val="24"/>
        </w:rPr>
        <w:t>。</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2.我方承诺在响应有效期内不修改、撤销响应文件。</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3.如我方中标，我方拟派</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为本工程项目负责人，其项目负责人资质为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（专业）</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级建造师。</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4.随同本投标函提交响应保证金一份，金额为人民币（大写）</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元（￥</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5.如我方中标：</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（1）我方承诺在收到成交通知书后，在成交通知书规定的期限内与你方签订合同。</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（2）随同本投标函递交的投标函附录属于合同文件的组成部分。</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（3）我方承诺按照</w:t>
      </w:r>
      <w:r>
        <w:rPr>
          <w:rFonts w:hint="eastAsia" w:ascii="宋体" w:hAnsi="宋体" w:cs="仿宋_GB2312"/>
          <w:color w:val="000000"/>
          <w:kern w:val="0"/>
          <w:sz w:val="24"/>
          <w:lang w:eastAsia="zh-CN"/>
        </w:rPr>
        <w:t>招标</w:t>
      </w:r>
      <w:r>
        <w:rPr>
          <w:rFonts w:hint="eastAsia" w:ascii="宋体" w:hAnsi="宋体" w:cs="仿宋_GB2312"/>
          <w:color w:val="000000"/>
          <w:kern w:val="0"/>
          <w:sz w:val="24"/>
        </w:rPr>
        <w:t>文件规定向你方递交履约担保。</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（4）我方承诺在合同约定的期限内完成并移交全部合同工程，否则无条件接受招标人及相应部门做出的一切处罚和决定。</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（5）我方承诺本投标函在</w:t>
      </w:r>
      <w:r>
        <w:rPr>
          <w:rFonts w:hint="eastAsia" w:ascii="宋体" w:hAnsi="宋体" w:cs="仿宋_GB2312"/>
          <w:color w:val="000000"/>
          <w:kern w:val="0"/>
          <w:sz w:val="24"/>
          <w:lang w:eastAsia="zh-CN"/>
        </w:rPr>
        <w:t>招标</w:t>
      </w:r>
      <w:r>
        <w:rPr>
          <w:rFonts w:hint="eastAsia" w:ascii="宋体" w:hAnsi="宋体" w:cs="仿宋_GB2312"/>
          <w:color w:val="000000"/>
          <w:kern w:val="0"/>
          <w:sz w:val="24"/>
        </w:rPr>
        <w:t>文件规定的提交响应文件截止时间后，在</w:t>
      </w:r>
      <w:r>
        <w:rPr>
          <w:rFonts w:hint="eastAsia" w:ascii="宋体" w:hAnsi="宋体" w:cs="仿宋_GB2312"/>
          <w:color w:val="000000"/>
          <w:kern w:val="0"/>
          <w:sz w:val="24"/>
          <w:lang w:eastAsia="zh-CN"/>
        </w:rPr>
        <w:t>招标</w:t>
      </w:r>
      <w:r>
        <w:rPr>
          <w:rFonts w:hint="eastAsia" w:ascii="宋体" w:hAnsi="宋体" w:cs="仿宋_GB2312"/>
          <w:color w:val="000000"/>
          <w:kern w:val="0"/>
          <w:sz w:val="24"/>
        </w:rPr>
        <w:t>文件规定的响应有效期期满前对我方具有约束力，且随时准备接受你方发出的成交通知书。</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（6）我方承诺，按规定缴纳农民工工资保证金，且在本项目施工过程中按时支付农民工工资。</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6.我方在此声明，所递交的响应文件及有关资料内容完整、真实和准确，且不存在</w:t>
      </w:r>
      <w:r>
        <w:rPr>
          <w:rFonts w:hint="eastAsia" w:ascii="宋体" w:hAnsi="宋体" w:cs="仿宋_GB2312"/>
          <w:color w:val="000000"/>
          <w:kern w:val="0"/>
          <w:sz w:val="24"/>
          <w:lang w:eastAsia="zh-CN"/>
        </w:rPr>
        <w:t>招标</w:t>
      </w:r>
      <w:r>
        <w:rPr>
          <w:rFonts w:hint="eastAsia" w:ascii="宋体" w:hAnsi="宋体" w:cs="仿宋_GB2312"/>
          <w:color w:val="000000"/>
          <w:kern w:val="0"/>
          <w:sz w:val="24"/>
        </w:rPr>
        <w:t>文件第二章“供应商须知”第1.4.3条规定的任何一种情形。</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 xml:space="preserve">7.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（其他补充说明）。</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如我方违背了上述承诺，本项目招标人有权取消我方的中标资格，并由招标人将我方的违约行为上报相关主管部门，记不良记录。</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投 标人：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（盖单位章）</w:t>
      </w:r>
      <w:r>
        <w:rPr>
          <w:rFonts w:hint="eastAsia" w:ascii="宋体" w:hAnsi="宋体" w:cs="仿宋_GB2312"/>
          <w:color w:val="000000"/>
          <w:kern w:val="0"/>
          <w:sz w:val="24"/>
          <w:u w:val="single"/>
        </w:rPr>
        <w:t xml:space="preserve">                  </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法定代表人或</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其委托代理人：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（签字或盖章）</w:t>
      </w:r>
      <w:r>
        <w:rPr>
          <w:rFonts w:hint="eastAsia" w:ascii="宋体" w:hAnsi="宋体" w:cs="仿宋_GB2312"/>
          <w:color w:val="000000"/>
          <w:kern w:val="0"/>
          <w:sz w:val="24"/>
          <w:u w:val="single"/>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地    址：</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网    址：</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电    话：</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传    真：</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邮政编码：</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spacing w:line="320" w:lineRule="exact"/>
        <w:ind w:right="480" w:firstLine="240" w:firstLineChars="100"/>
        <w:jc w:val="left"/>
        <w:rPr>
          <w:rFonts w:ascii="宋体" w:hAnsi="宋体" w:cs="仿宋_GB2312"/>
          <w:color w:val="000000"/>
          <w:kern w:val="0"/>
          <w:sz w:val="24"/>
        </w:rPr>
      </w:pPr>
      <w:r>
        <w:rPr>
          <w:rFonts w:hint="eastAsia" w:ascii="宋体" w:hAnsi="宋体" w:cs="仿宋_GB2312"/>
          <w:color w:val="000000"/>
          <w:kern w:val="0"/>
          <w:sz w:val="24"/>
        </w:rPr>
        <w:t xml:space="preserve">                                            </w:t>
      </w:r>
    </w:p>
    <w:p>
      <w:pPr>
        <w:spacing w:line="320" w:lineRule="exact"/>
        <w:ind w:right="480" w:firstLine="240" w:firstLineChars="100"/>
        <w:jc w:val="left"/>
        <w:rPr>
          <w:rFonts w:ascii="宋体" w:hAnsi="宋体" w:cs="仿宋_GB2312"/>
          <w:color w:val="000000"/>
          <w:kern w:val="0"/>
          <w:sz w:val="24"/>
        </w:rPr>
      </w:pPr>
    </w:p>
    <w:p>
      <w:pPr>
        <w:spacing w:line="320" w:lineRule="exact"/>
        <w:ind w:right="480" w:firstLine="240" w:firstLineChars="100"/>
        <w:jc w:val="right"/>
        <w:rPr>
          <w:rFonts w:ascii="宋体" w:hAnsi="宋体" w:cs="仿宋_GB2312"/>
          <w:color w:val="000000"/>
          <w:kern w:val="0"/>
          <w:sz w:val="24"/>
        </w:rPr>
      </w:pPr>
      <w:r>
        <w:rPr>
          <w:rFonts w:hint="eastAsia" w:ascii="宋体" w:hAnsi="宋体" w:cs="仿宋_GB2312"/>
          <w:color w:val="000000"/>
          <w:kern w:val="0"/>
          <w:sz w:val="24"/>
        </w:rPr>
        <w:t xml:space="preserve">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月</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日</w:t>
      </w:r>
    </w:p>
    <w:p>
      <w:pPr>
        <w:snapToGrid w:val="0"/>
        <w:spacing w:line="360" w:lineRule="auto"/>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br w:type="page"/>
      </w:r>
      <w:r>
        <w:rPr>
          <w:rFonts w:hint="eastAsia" w:ascii="宋体" w:hAnsi="宋体" w:cs="仿宋_GB2312"/>
          <w:b/>
          <w:bCs/>
          <w:color w:val="000000"/>
          <w:kern w:val="0"/>
          <w:sz w:val="24"/>
          <w:szCs w:val="22"/>
        </w:rPr>
        <w:t>四、资格证明文件</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1）企业基本情况表</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2）企业法人营业执照、证书等</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3）拟派项目班子成员汇总表</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4）项目班子成员简历表，附职称证书、社保证明等。</w:t>
      </w:r>
    </w:p>
    <w:p>
      <w:pPr>
        <w:spacing w:line="500" w:lineRule="exact"/>
        <w:ind w:left="360"/>
        <w:jc w:val="center"/>
        <w:rPr>
          <w:rFonts w:ascii="宋体" w:hAnsi="宋体" w:cs="仿宋_GB2312"/>
          <w:b/>
          <w:bCs/>
          <w:color w:val="000000"/>
          <w:kern w:val="0"/>
          <w:sz w:val="24"/>
          <w:szCs w:val="22"/>
        </w:rPr>
      </w:pPr>
      <w:bookmarkStart w:id="141" w:name="_Toc80458960"/>
      <w:bookmarkStart w:id="142" w:name="_Toc81026161"/>
      <w:bookmarkStart w:id="143" w:name="_Toc80502618"/>
      <w:r>
        <w:rPr>
          <w:rFonts w:hint="eastAsia" w:ascii="宋体" w:hAnsi="宋体" w:cs="仿宋_GB2312"/>
          <w:b/>
          <w:color w:val="000000"/>
          <w:kern w:val="0"/>
          <w:sz w:val="24"/>
        </w:rPr>
        <w:br w:type="page"/>
      </w:r>
      <w:r>
        <w:rPr>
          <w:rFonts w:hint="eastAsia" w:ascii="宋体" w:hAnsi="宋体" w:cs="仿宋_GB2312"/>
          <w:b/>
          <w:color w:val="000000"/>
          <w:kern w:val="0"/>
          <w:sz w:val="24"/>
          <w:szCs w:val="22"/>
        </w:rPr>
        <w:t>1、</w:t>
      </w:r>
      <w:r>
        <w:rPr>
          <w:rFonts w:hint="eastAsia" w:ascii="宋体" w:hAnsi="宋体" w:cs="仿宋_GB2312"/>
          <w:b/>
          <w:bCs/>
          <w:color w:val="000000"/>
          <w:kern w:val="0"/>
          <w:sz w:val="24"/>
          <w:szCs w:val="22"/>
        </w:rPr>
        <w:t>企业基本情况一览表</w:t>
      </w:r>
      <w:bookmarkEnd w:id="141"/>
      <w:bookmarkEnd w:id="142"/>
      <w:bookmarkEnd w:id="143"/>
    </w:p>
    <w:p>
      <w:pPr>
        <w:spacing w:line="500" w:lineRule="exact"/>
        <w:ind w:left="360"/>
        <w:jc w:val="center"/>
        <w:rPr>
          <w:rFonts w:ascii="宋体" w:hAnsi="宋体" w:cs="仿宋_GB2312"/>
          <w:b/>
          <w:bCs/>
          <w:color w:val="000000"/>
          <w:kern w:val="0"/>
          <w:sz w:val="24"/>
          <w:szCs w:val="22"/>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3306"/>
        <w:gridCol w:w="915"/>
        <w:gridCol w:w="4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2</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总部地址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3</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当地代表处地址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4</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电话</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5</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传真</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6</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注册地</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7</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 xml:space="preserve">公司资质等级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8</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公司</w:t>
            </w:r>
            <w:r>
              <w:rPr>
                <w:rFonts w:hint="eastAsia" w:ascii="宋体" w:hAnsi="宋体" w:cs="仿宋_GB2312"/>
                <w:color w:val="000000"/>
                <w:kern w:val="0"/>
                <w:sz w:val="24"/>
                <w:szCs w:val="22"/>
                <w:u w:val="single"/>
              </w:rPr>
              <w:t xml:space="preserve">  （是否通过，何种） </w:t>
            </w:r>
            <w:r>
              <w:rPr>
                <w:rFonts w:hint="eastAsia" w:ascii="宋体" w:hAnsi="宋体" w:cs="仿宋_GB2312"/>
                <w:color w:val="000000"/>
                <w:kern w:val="0"/>
                <w:sz w:val="24"/>
                <w:szCs w:val="22"/>
              </w:rPr>
              <w:t>质量保证体系认证（如通过请附相关证书复印件）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9</w:t>
            </w:r>
          </w:p>
        </w:tc>
        <w:tc>
          <w:tcPr>
            <w:tcW w:w="8464" w:type="dxa"/>
            <w:gridSpan w:val="3"/>
            <w:vAlign w:val="center"/>
          </w:tcPr>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主营范围</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1、</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2、</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3、</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4、</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10</w:t>
            </w:r>
          </w:p>
        </w:tc>
        <w:tc>
          <w:tcPr>
            <w:tcW w:w="3306"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作为供应商经历年数</w:t>
            </w:r>
          </w:p>
        </w:tc>
        <w:tc>
          <w:tcPr>
            <w:tcW w:w="5158" w:type="dxa"/>
            <w:gridSpan w:val="2"/>
          </w:tcPr>
          <w:p>
            <w:pPr>
              <w:jc w:val="left"/>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11</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主要代表性业绩：</w:t>
            </w:r>
          </w:p>
        </w:tc>
      </w:tr>
    </w:tbl>
    <w:p>
      <w:pPr>
        <w:spacing w:line="500" w:lineRule="exact"/>
        <w:jc w:val="left"/>
        <w:rPr>
          <w:rFonts w:ascii="宋体" w:hAnsi="宋体" w:cs="仿宋_GB2312"/>
          <w:b/>
          <w:color w:val="000000"/>
          <w:kern w:val="0"/>
          <w:sz w:val="24"/>
          <w:szCs w:val="22"/>
        </w:rPr>
      </w:pPr>
      <w:r>
        <w:rPr>
          <w:rFonts w:hint="eastAsia" w:ascii="宋体" w:hAnsi="宋体" w:cs="仿宋_GB2312"/>
          <w:b/>
          <w:color w:val="000000"/>
          <w:kern w:val="0"/>
          <w:sz w:val="24"/>
          <w:szCs w:val="22"/>
        </w:rPr>
        <w:br w:type="page"/>
      </w:r>
      <w:r>
        <w:rPr>
          <w:rFonts w:hint="eastAsia" w:ascii="宋体" w:hAnsi="宋体" w:cs="仿宋_GB2312"/>
          <w:b/>
          <w:color w:val="000000"/>
          <w:kern w:val="0"/>
          <w:sz w:val="24"/>
          <w:szCs w:val="22"/>
        </w:rPr>
        <w:t>2、</w:t>
      </w:r>
      <w:bookmarkStart w:id="144" w:name="_Toc54281631"/>
      <w:bookmarkStart w:id="145" w:name="_Toc54280779"/>
      <w:bookmarkStart w:id="146" w:name="_Toc54280353"/>
      <w:bookmarkStart w:id="147" w:name="_Toc55705179"/>
      <w:bookmarkStart w:id="148" w:name="_Toc54281205"/>
      <w:bookmarkStart w:id="149" w:name="_Toc55639404"/>
      <w:bookmarkStart w:id="150" w:name="_Toc54278970"/>
      <w:bookmarkStart w:id="151" w:name="_Toc54291535"/>
      <w:bookmarkStart w:id="152" w:name="_Toc54372666"/>
      <w:bookmarkStart w:id="153" w:name="_Toc55654551"/>
      <w:r>
        <w:rPr>
          <w:rFonts w:hint="eastAsia" w:ascii="宋体" w:hAnsi="宋体" w:cs="仿宋_GB2312"/>
          <w:bCs/>
          <w:color w:val="000000"/>
          <w:kern w:val="0"/>
          <w:sz w:val="24"/>
          <w:szCs w:val="22"/>
        </w:rPr>
        <w:t>企业法人营业执照、证书等。</w:t>
      </w:r>
    </w:p>
    <w:p>
      <w:pPr>
        <w:spacing w:line="500" w:lineRule="exact"/>
        <w:jc w:val="center"/>
        <w:rPr>
          <w:rFonts w:ascii="宋体" w:hAnsi="宋体" w:cs="仿宋_GB2312"/>
          <w:b/>
          <w:color w:val="000000"/>
          <w:kern w:val="0"/>
          <w:sz w:val="24"/>
          <w:szCs w:val="22"/>
        </w:rPr>
      </w:pPr>
    </w:p>
    <w:p>
      <w:pPr>
        <w:spacing w:line="360" w:lineRule="auto"/>
        <w:jc w:val="center"/>
        <w:rPr>
          <w:rFonts w:ascii="宋体" w:hAnsi="宋体" w:cs="仿宋_GB2312"/>
          <w:b/>
          <w:bCs/>
          <w:color w:val="000000"/>
          <w:kern w:val="0"/>
          <w:sz w:val="24"/>
          <w:szCs w:val="22"/>
        </w:rPr>
      </w:pPr>
    </w:p>
    <w:p>
      <w:pPr>
        <w:spacing w:line="360" w:lineRule="auto"/>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t>3、项目班子成员汇总表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832"/>
        <w:gridCol w:w="852"/>
        <w:gridCol w:w="1345"/>
        <w:gridCol w:w="599"/>
        <w:gridCol w:w="843"/>
        <w:gridCol w:w="756"/>
        <w:gridCol w:w="1449"/>
        <w:gridCol w:w="929"/>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991"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职务</w:t>
            </w:r>
          </w:p>
        </w:tc>
        <w:tc>
          <w:tcPr>
            <w:tcW w:w="832"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姓名</w:t>
            </w:r>
          </w:p>
        </w:tc>
        <w:tc>
          <w:tcPr>
            <w:tcW w:w="852"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职称</w:t>
            </w:r>
          </w:p>
        </w:tc>
        <w:tc>
          <w:tcPr>
            <w:tcW w:w="4992" w:type="dxa"/>
            <w:gridSpan w:val="5"/>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执业或职业资格证明</w:t>
            </w:r>
          </w:p>
        </w:tc>
        <w:tc>
          <w:tcPr>
            <w:tcW w:w="2094" w:type="dxa"/>
            <w:gridSpan w:val="2"/>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类似工程经验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jc w:val="center"/>
        </w:trPr>
        <w:tc>
          <w:tcPr>
            <w:tcW w:w="991" w:type="dxa"/>
            <w:vMerge w:val="continue"/>
            <w:vAlign w:val="center"/>
          </w:tcPr>
          <w:p>
            <w:pPr>
              <w:spacing w:line="240" w:lineRule="exact"/>
              <w:jc w:val="center"/>
              <w:rPr>
                <w:rFonts w:ascii="宋体" w:hAnsi="宋体" w:cs="仿宋_GB2312"/>
                <w:color w:val="000000"/>
                <w:kern w:val="0"/>
                <w:sz w:val="24"/>
              </w:rPr>
            </w:pPr>
          </w:p>
        </w:tc>
        <w:tc>
          <w:tcPr>
            <w:tcW w:w="832" w:type="dxa"/>
            <w:vMerge w:val="continue"/>
            <w:vAlign w:val="center"/>
          </w:tcPr>
          <w:p>
            <w:pPr>
              <w:spacing w:line="240" w:lineRule="exact"/>
              <w:jc w:val="center"/>
              <w:rPr>
                <w:rFonts w:ascii="宋体" w:hAnsi="宋体" w:cs="仿宋_GB2312"/>
                <w:color w:val="000000"/>
                <w:kern w:val="0"/>
                <w:sz w:val="24"/>
              </w:rPr>
            </w:pPr>
          </w:p>
        </w:tc>
        <w:tc>
          <w:tcPr>
            <w:tcW w:w="852" w:type="dxa"/>
            <w:vMerge w:val="continue"/>
            <w:vAlign w:val="center"/>
          </w:tcPr>
          <w:p>
            <w:pPr>
              <w:spacing w:line="240" w:lineRule="exact"/>
              <w:jc w:val="center"/>
              <w:rPr>
                <w:rFonts w:ascii="宋体" w:hAnsi="宋体" w:cs="仿宋_GB2312"/>
                <w:color w:val="000000"/>
                <w:kern w:val="0"/>
                <w:sz w:val="24"/>
              </w:rPr>
            </w:pPr>
          </w:p>
        </w:tc>
        <w:tc>
          <w:tcPr>
            <w:tcW w:w="1345"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证书名称</w:t>
            </w:r>
          </w:p>
        </w:tc>
        <w:tc>
          <w:tcPr>
            <w:tcW w:w="59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级别</w:t>
            </w:r>
          </w:p>
        </w:tc>
        <w:tc>
          <w:tcPr>
            <w:tcW w:w="843"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证号</w:t>
            </w:r>
          </w:p>
        </w:tc>
        <w:tc>
          <w:tcPr>
            <w:tcW w:w="756"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专业</w:t>
            </w:r>
          </w:p>
        </w:tc>
        <w:tc>
          <w:tcPr>
            <w:tcW w:w="144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原服务单位</w:t>
            </w:r>
          </w:p>
        </w:tc>
        <w:tc>
          <w:tcPr>
            <w:tcW w:w="92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项目名称</w:t>
            </w:r>
          </w:p>
        </w:tc>
        <w:tc>
          <w:tcPr>
            <w:tcW w:w="1165"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r>
              <w:rPr>
                <w:rFonts w:hint="eastAsia" w:ascii="宋体" w:hAnsi="宋体" w:cs="仿宋_GB2312"/>
                <w:color w:val="000000"/>
                <w:kern w:val="0"/>
                <w:sz w:val="24"/>
              </w:rPr>
              <w:t>项目负责人</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r>
              <w:rPr>
                <w:rFonts w:hint="eastAsia" w:ascii="宋体" w:hAnsi="宋体" w:cs="仿宋_GB2312"/>
                <w:color w:val="000000"/>
                <w:kern w:val="0"/>
                <w:sz w:val="24"/>
              </w:rPr>
              <w:t>技术负责人</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r>
              <w:rPr>
                <w:rFonts w:hint="eastAsia" w:ascii="宋体" w:hAnsi="宋体" w:cs="仿宋_GB2312"/>
                <w:color w:val="000000"/>
                <w:kern w:val="0"/>
                <w:sz w:val="24"/>
              </w:rPr>
              <w:t>……</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9761" w:type="dxa"/>
            <w:gridSpan w:val="10"/>
            <w:vAlign w:val="center"/>
          </w:tcPr>
          <w:p>
            <w:pPr>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一旦我单位中标，将实行项目负责人负责制，并配备上述项目管理机构。我方保证上述填报内容真实，若不真实，愿按有关规定接受处理。项目管理班子机构设置、职责分工等情况另附资料说明。</w:t>
            </w:r>
          </w:p>
        </w:tc>
      </w:tr>
    </w:tbl>
    <w:p>
      <w:pPr>
        <w:spacing w:line="360" w:lineRule="auto"/>
        <w:jc w:val="center"/>
        <w:rPr>
          <w:rFonts w:ascii="宋体" w:hAnsi="宋体" w:cs="仿宋_GB2312"/>
          <w:b/>
          <w:bCs/>
          <w:color w:val="000000"/>
          <w:kern w:val="0"/>
          <w:sz w:val="24"/>
          <w:szCs w:val="22"/>
        </w:rPr>
      </w:pPr>
      <w:r>
        <w:rPr>
          <w:rFonts w:hint="eastAsia" w:ascii="宋体" w:hAnsi="宋体" w:cs="仿宋_GB2312"/>
          <w:b/>
          <w:color w:val="000000"/>
          <w:kern w:val="0"/>
          <w:sz w:val="24"/>
          <w:szCs w:val="22"/>
        </w:rPr>
        <w:br w:type="page"/>
      </w:r>
      <w:r>
        <w:rPr>
          <w:rFonts w:hint="eastAsia" w:ascii="宋体" w:hAnsi="宋体" w:cs="仿宋_GB2312"/>
          <w:b/>
          <w:bCs/>
          <w:color w:val="000000"/>
          <w:kern w:val="0"/>
          <w:sz w:val="24"/>
          <w:szCs w:val="22"/>
        </w:rPr>
        <w:t>4、项目班子成员简历表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1310"/>
        <w:gridCol w:w="483"/>
        <w:gridCol w:w="1544"/>
        <w:gridCol w:w="1570"/>
        <w:gridCol w:w="502"/>
        <w:gridCol w:w="651"/>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姓名</w:t>
            </w: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性别</w:t>
            </w: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年龄</w:t>
            </w: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本工程职务</w:t>
            </w: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资格</w:t>
            </w:r>
          </w:p>
          <w:p>
            <w:pPr>
              <w:jc w:val="center"/>
              <w:rPr>
                <w:rFonts w:ascii="宋体" w:hAnsi="宋体" w:cs="仿宋_GB2312"/>
                <w:color w:val="000000"/>
                <w:kern w:val="0"/>
                <w:sz w:val="24"/>
                <w:szCs w:val="22"/>
              </w:rPr>
            </w:pPr>
            <w:r>
              <w:rPr>
                <w:rFonts w:hint="eastAsia" w:ascii="宋体" w:hAnsi="宋体" w:cs="仿宋_GB2312"/>
                <w:color w:val="000000"/>
                <w:kern w:val="0"/>
                <w:sz w:val="24"/>
                <w:szCs w:val="22"/>
              </w:rPr>
              <w:t>职称</w:t>
            </w: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学历</w:t>
            </w: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0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参加工作时间</w:t>
            </w:r>
          </w:p>
        </w:tc>
        <w:tc>
          <w:tcPr>
            <w:tcW w:w="2027" w:type="dxa"/>
            <w:gridSpan w:val="2"/>
            <w:vAlign w:val="center"/>
          </w:tcPr>
          <w:p>
            <w:pPr>
              <w:jc w:val="center"/>
              <w:rPr>
                <w:rFonts w:ascii="宋体" w:hAnsi="宋体" w:cs="仿宋_GB2312"/>
                <w:color w:val="000000"/>
                <w:kern w:val="0"/>
                <w:sz w:val="24"/>
                <w:szCs w:val="22"/>
              </w:rPr>
            </w:pPr>
          </w:p>
        </w:tc>
        <w:tc>
          <w:tcPr>
            <w:tcW w:w="207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担任本工程职务年限</w:t>
            </w:r>
          </w:p>
        </w:tc>
        <w:tc>
          <w:tcPr>
            <w:tcW w:w="2443" w:type="dxa"/>
            <w:gridSpan w:val="2"/>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0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资质证书名称、编号</w:t>
            </w:r>
          </w:p>
        </w:tc>
        <w:tc>
          <w:tcPr>
            <w:tcW w:w="6542" w:type="dxa"/>
            <w:gridSpan w:val="6"/>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44" w:type="dxa"/>
            <w:gridSpan w:val="8"/>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建设单位</w:t>
            </w:r>
          </w:p>
        </w:tc>
        <w:tc>
          <w:tcPr>
            <w:tcW w:w="179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项目名称</w:t>
            </w: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建设规模</w:t>
            </w:r>
          </w:p>
        </w:tc>
        <w:tc>
          <w:tcPr>
            <w:tcW w:w="1570"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开、竣工日期</w:t>
            </w: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在建或</w:t>
            </w:r>
          </w:p>
          <w:p>
            <w:pPr>
              <w:jc w:val="center"/>
              <w:rPr>
                <w:rFonts w:ascii="宋体" w:hAnsi="宋体" w:cs="仿宋_GB2312"/>
                <w:color w:val="000000"/>
                <w:kern w:val="0"/>
                <w:sz w:val="24"/>
                <w:szCs w:val="22"/>
              </w:rPr>
            </w:pPr>
            <w:r>
              <w:rPr>
                <w:rFonts w:hint="eastAsia" w:ascii="宋体" w:hAnsi="宋体" w:cs="仿宋_GB2312"/>
                <w:color w:val="000000"/>
                <w:kern w:val="0"/>
                <w:sz w:val="24"/>
                <w:szCs w:val="22"/>
              </w:rPr>
              <w:t>已完</w:t>
            </w:r>
          </w:p>
        </w:tc>
        <w:tc>
          <w:tcPr>
            <w:tcW w:w="17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bl>
    <w:p>
      <w:pPr>
        <w:ind w:firstLine="240" w:firstLineChars="100"/>
        <w:rPr>
          <w:rFonts w:ascii="宋体" w:hAnsi="宋体" w:cs="仿宋_GB2312"/>
          <w:color w:val="000000"/>
          <w:kern w:val="0"/>
          <w:sz w:val="24"/>
          <w:szCs w:val="22"/>
        </w:rPr>
      </w:pPr>
      <w:r>
        <w:rPr>
          <w:rFonts w:hint="eastAsia" w:ascii="宋体" w:hAnsi="宋体" w:cs="仿宋_GB2312"/>
          <w:color w:val="000000"/>
          <w:kern w:val="0"/>
          <w:sz w:val="24"/>
          <w:szCs w:val="22"/>
        </w:rPr>
        <w:t>注：附各班子成员相关执业注册、资格、岗位及职称证书、社保等资料复印件（如要求）。</w:t>
      </w:r>
    </w:p>
    <w:p>
      <w:pPr>
        <w:spacing w:line="500" w:lineRule="exact"/>
        <w:jc w:val="center"/>
        <w:rPr>
          <w:rFonts w:ascii="宋体" w:hAnsi="宋体" w:cs="仿宋_GB2312"/>
          <w:color w:val="000000"/>
          <w:kern w:val="0"/>
          <w:sz w:val="24"/>
          <w:szCs w:val="22"/>
        </w:rPr>
      </w:pPr>
    </w:p>
    <w:bookmarkEnd w:id="144"/>
    <w:bookmarkEnd w:id="145"/>
    <w:bookmarkEnd w:id="146"/>
    <w:bookmarkEnd w:id="147"/>
    <w:bookmarkEnd w:id="148"/>
    <w:bookmarkEnd w:id="149"/>
    <w:bookmarkEnd w:id="150"/>
    <w:bookmarkEnd w:id="151"/>
    <w:bookmarkEnd w:id="152"/>
    <w:bookmarkEnd w:id="153"/>
    <w:p>
      <w:pPr>
        <w:spacing w:line="500" w:lineRule="exact"/>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t>五、施工组织设计</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根据本项目特点和要求编写，内容不限于以下内容，亦包括评审办法对施工组织设计的要求内容）。</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1、供应商应编制施工组织设计，编制的具体要求是：编制时应采用文字并结合图表形式说明各分部分项工程的施工方法；拟投入的主要施工机械设备情况、劳动力计划等；结合招标工程特点提出切实可行的工程质量、安全生产、文明施工、工程进度、技术组织措施，同时应对关键工序、复杂环节重点提出相应技术措施，如雨季施工技术措施、减少扰民噪音、降低环境污染技术措施、基坑支护保护措施、地下管线及其他地上地下设施的保护加固措施等。</w:t>
      </w:r>
    </w:p>
    <w:p>
      <w:pPr>
        <w:spacing w:line="360" w:lineRule="auto"/>
        <w:ind w:firstLine="480" w:firstLineChars="200"/>
        <w:jc w:val="left"/>
        <w:rPr>
          <w:rFonts w:ascii="宋体" w:hAnsi="宋体" w:cs="仿宋_GB2312"/>
          <w:color w:val="000000"/>
          <w:kern w:val="0"/>
          <w:sz w:val="24"/>
          <w:szCs w:val="22"/>
        </w:rPr>
      </w:pP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2、施工组织设计除采用文字表述外应附下列图表：</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（1）总平面布置图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（2）给排水图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（3）劳动力计划表</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（4）计划开、竣工日期和施工进度网络图或横道图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（5）临时用地表</w:t>
      </w:r>
    </w:p>
    <w:p>
      <w:pPr>
        <w:spacing w:line="500" w:lineRule="exact"/>
        <w:jc w:val="center"/>
        <w:rPr>
          <w:rFonts w:ascii="宋体" w:hAnsi="宋体" w:cs="仿宋_GB2312"/>
          <w:color w:val="000000"/>
          <w:kern w:val="0"/>
          <w:sz w:val="24"/>
          <w:u w:val="single"/>
        </w:rPr>
      </w:pPr>
      <w:r>
        <w:rPr>
          <w:rFonts w:hint="eastAsia" w:ascii="宋体" w:hAnsi="宋体" w:cs="仿宋_GB2312"/>
          <w:b/>
          <w:bCs/>
          <w:color w:val="000000"/>
          <w:kern w:val="0"/>
          <w:sz w:val="24"/>
          <w:szCs w:val="22"/>
        </w:rPr>
        <w:br w:type="page"/>
      </w:r>
      <w:r>
        <w:rPr>
          <w:rFonts w:hint="eastAsia" w:ascii="宋体" w:hAnsi="宋体" w:cs="仿宋_GB2312"/>
          <w:b/>
          <w:bCs/>
          <w:color w:val="000000"/>
          <w:kern w:val="0"/>
          <w:sz w:val="24"/>
          <w:szCs w:val="22"/>
        </w:rPr>
        <w:t>六、投标承诺函</w:t>
      </w:r>
    </w:p>
    <w:p>
      <w:pPr>
        <w:spacing w:line="360" w:lineRule="auto"/>
        <w:jc w:val="left"/>
        <w:rPr>
          <w:rFonts w:ascii="宋体" w:hAnsi="宋体" w:cs="仿宋_GB2312"/>
          <w:color w:val="000000"/>
          <w:kern w:val="0"/>
          <w:sz w:val="24"/>
        </w:rPr>
      </w:pP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（招标人名称）: </w:t>
      </w:r>
    </w:p>
    <w:p>
      <w:pPr>
        <w:spacing w:line="360" w:lineRule="auto"/>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鉴于</w:t>
      </w:r>
      <w:r>
        <w:rPr>
          <w:rFonts w:hint="eastAsia" w:ascii="宋体" w:hAnsi="宋体" w:cs="仿宋_GB2312"/>
          <w:color w:val="000000"/>
          <w:kern w:val="0"/>
          <w:sz w:val="24"/>
          <w:u w:val="single"/>
        </w:rPr>
        <w:t xml:space="preserve">             （供应商名称）</w:t>
      </w:r>
      <w:r>
        <w:rPr>
          <w:rFonts w:hint="eastAsia" w:ascii="宋体" w:hAnsi="宋体" w:cs="仿宋_GB2312"/>
          <w:color w:val="000000"/>
          <w:kern w:val="0"/>
          <w:sz w:val="24"/>
        </w:rPr>
        <w:t>（以下称“供应商”）于</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年＿月＿日参加 </w:t>
      </w:r>
      <w:r>
        <w:rPr>
          <w:rFonts w:hint="eastAsia" w:ascii="宋体" w:hAnsi="宋体" w:cs="仿宋_GB2312"/>
          <w:color w:val="000000"/>
          <w:kern w:val="0"/>
          <w:sz w:val="24"/>
          <w:u w:val="single"/>
        </w:rPr>
        <w:t xml:space="preserve">                        （项目名称）</w:t>
      </w:r>
      <w:r>
        <w:rPr>
          <w:rFonts w:hint="eastAsia" w:ascii="宋体" w:hAnsi="宋体" w:cs="仿宋_GB2312"/>
          <w:color w:val="000000"/>
          <w:kern w:val="0"/>
          <w:sz w:val="24"/>
        </w:rPr>
        <w:t>施工的投标，我公司郑重承诺：</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1、我单位已经充分理解本招标活动文件的一切内容，对本次招标活动文件内容无任何异议，完全接受</w:t>
      </w:r>
      <w:r>
        <w:rPr>
          <w:rFonts w:hint="eastAsia" w:ascii="宋体" w:hAnsi="宋体"/>
          <w:color w:val="000000"/>
          <w:kern w:val="0"/>
          <w:sz w:val="24"/>
          <w:lang w:eastAsia="zh-CN"/>
        </w:rPr>
        <w:t>招标</w:t>
      </w:r>
      <w:r>
        <w:rPr>
          <w:rFonts w:hint="eastAsia" w:ascii="宋体" w:hAnsi="宋体"/>
          <w:color w:val="000000"/>
          <w:kern w:val="0"/>
          <w:sz w:val="24"/>
        </w:rPr>
        <w:t>文件的全部内容，自愿参加本项目投标活动，保证无出借资质、不挂靠、不转包、非法分包等违规现象，保证无围标、串标以及弄虚作假等违规行为，否则一经查实，我公司自愿放弃投标（或中标）资格，并接受招标人及主管部门按规定做出其他相应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2、在规定的响应文件有效期内撤销或修改其响应文件的，或者我公司在收到成交通知书后拒绝按</w:t>
      </w:r>
      <w:r>
        <w:rPr>
          <w:rFonts w:hint="eastAsia" w:ascii="宋体" w:hAnsi="宋体"/>
          <w:color w:val="000000"/>
          <w:kern w:val="0"/>
          <w:sz w:val="24"/>
          <w:lang w:eastAsia="zh-CN"/>
        </w:rPr>
        <w:t>招标</w:t>
      </w:r>
      <w:r>
        <w:rPr>
          <w:rFonts w:hint="eastAsia" w:ascii="宋体" w:hAnsi="宋体"/>
          <w:color w:val="000000"/>
          <w:kern w:val="0"/>
          <w:sz w:val="24"/>
        </w:rPr>
        <w:t>文件规定的数额、形式和时间提交履约担保，或拒绝按招标人约定的时间和</w:t>
      </w:r>
      <w:r>
        <w:rPr>
          <w:rFonts w:hint="eastAsia" w:ascii="宋体" w:hAnsi="宋体"/>
          <w:color w:val="000000"/>
          <w:kern w:val="0"/>
          <w:sz w:val="24"/>
          <w:lang w:eastAsia="zh-CN"/>
        </w:rPr>
        <w:t>招标</w:t>
      </w:r>
      <w:r>
        <w:rPr>
          <w:rFonts w:hint="eastAsia" w:ascii="宋体" w:hAnsi="宋体"/>
          <w:color w:val="000000"/>
          <w:kern w:val="0"/>
          <w:sz w:val="24"/>
        </w:rPr>
        <w:t>文件约定的合同条款签订合同的，我公司将无条件放弃中标资格，并接受招标人及主管部门按规定全额扣留我公司响应保证金和做出其他相应处罚；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3、在整个招标投标过程中，我公司熟知和了解</w:t>
      </w:r>
      <w:r>
        <w:rPr>
          <w:rFonts w:hint="eastAsia" w:ascii="宋体" w:hAnsi="宋体"/>
          <w:color w:val="000000"/>
          <w:kern w:val="0"/>
          <w:sz w:val="24"/>
          <w:lang w:eastAsia="zh-CN"/>
        </w:rPr>
        <w:t>招标</w:t>
      </w:r>
      <w:r>
        <w:rPr>
          <w:rFonts w:hint="eastAsia" w:ascii="宋体" w:hAnsi="宋体"/>
          <w:color w:val="000000"/>
          <w:kern w:val="0"/>
          <w:sz w:val="24"/>
        </w:rPr>
        <w:t>文件、合同通用及专用条款及附件，我公司承诺完全按</w:t>
      </w:r>
      <w:r>
        <w:rPr>
          <w:rFonts w:hint="eastAsia" w:ascii="宋体" w:hAnsi="宋体"/>
          <w:color w:val="000000"/>
          <w:kern w:val="0"/>
          <w:sz w:val="24"/>
          <w:lang w:eastAsia="zh-CN"/>
        </w:rPr>
        <w:t>招标</w:t>
      </w:r>
      <w:r>
        <w:rPr>
          <w:rFonts w:hint="eastAsia" w:ascii="宋体" w:hAnsi="宋体"/>
          <w:color w:val="000000"/>
          <w:kern w:val="0"/>
          <w:sz w:val="24"/>
        </w:rPr>
        <w:t>文件及合同通用、专用条款及附件履行职责及义务。若我公司有</w:t>
      </w:r>
      <w:r>
        <w:rPr>
          <w:rFonts w:hint="eastAsia" w:ascii="宋体" w:hAnsi="宋体"/>
          <w:color w:val="000000"/>
          <w:kern w:val="0"/>
          <w:sz w:val="24"/>
          <w:lang w:eastAsia="zh-CN"/>
        </w:rPr>
        <w:t>招标</w:t>
      </w:r>
      <w:r>
        <w:rPr>
          <w:rFonts w:hint="eastAsia" w:ascii="宋体" w:hAnsi="宋体"/>
          <w:color w:val="000000"/>
          <w:kern w:val="0"/>
          <w:sz w:val="24"/>
        </w:rPr>
        <w:t>文件及合同通用及专用条款所述的违约行为，我公司将无条件接受招标人根据合同及</w:t>
      </w:r>
      <w:r>
        <w:rPr>
          <w:rFonts w:hint="eastAsia" w:ascii="宋体" w:hAnsi="宋体"/>
          <w:color w:val="000000"/>
          <w:kern w:val="0"/>
          <w:sz w:val="24"/>
          <w:lang w:eastAsia="zh-CN"/>
        </w:rPr>
        <w:t>招标</w:t>
      </w:r>
      <w:r>
        <w:rPr>
          <w:rFonts w:hint="eastAsia" w:ascii="宋体" w:hAnsi="宋体"/>
          <w:color w:val="000000"/>
          <w:kern w:val="0"/>
          <w:sz w:val="24"/>
        </w:rPr>
        <w:t>文件规定所做出的处罚；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4、我方承诺：投标的项目负责人及相应资质的专业技术、管理人员是将来施工现场的实际操作者，中标后不再兼任其他项目的操作管理职务，并常驻本工程施工现场。项目负责人只担任本项目的施工负责人，不再担任其他项目的项目负责人（或管理者），每月驻现场工作时间不少于22天（每天在岗工作时间不少于8个小时），如未经招标人同意而更换人员或驻工地工作时间不足22天，愿意接受</w:t>
      </w:r>
      <w:r>
        <w:rPr>
          <w:rFonts w:hint="eastAsia" w:ascii="宋体" w:hAnsi="宋体"/>
          <w:color w:val="000000"/>
          <w:kern w:val="0"/>
          <w:sz w:val="24"/>
          <w:lang w:eastAsia="zh-CN"/>
        </w:rPr>
        <w:t>招标</w:t>
      </w:r>
      <w:r>
        <w:rPr>
          <w:rFonts w:hint="eastAsia" w:ascii="宋体" w:hAnsi="宋体"/>
          <w:color w:val="000000"/>
          <w:kern w:val="0"/>
          <w:sz w:val="24"/>
        </w:rPr>
        <w:t>文件和合同约定的违约处理；招标人如认为有必要，可要求对上述人员中的部分人员作出更好的调整，我公司无条件的全部接受。直至招标人满意。人员调整不涉及任何费用的补偿和索赔。</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5、我方在施工过程中确保安全生产，施工期间由施工引发的一切安全责任事故均由我方负责；</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6、我方承诺：我方确保本工程安全文明施工达到安全文明工地标准，注意周边市政设施保护及沿途道路保洁工作，如出现损坏市政设施及路面污染现象，由我公司负责及时清扫。按时支付农民工工资金并保证廉洁自律；</w:t>
      </w:r>
    </w:p>
    <w:p>
      <w:pPr>
        <w:spacing w:line="360" w:lineRule="auto"/>
        <w:ind w:firstLine="600" w:firstLineChars="250"/>
        <w:jc w:val="left"/>
        <w:rPr>
          <w:rFonts w:ascii="宋体" w:hAnsi="宋体"/>
          <w:color w:val="000000"/>
          <w:kern w:val="0"/>
          <w:sz w:val="24"/>
          <w:szCs w:val="22"/>
        </w:rPr>
      </w:pPr>
      <w:r>
        <w:rPr>
          <w:rFonts w:hint="eastAsia" w:ascii="宋体" w:hAnsi="宋体"/>
          <w:color w:val="000000"/>
          <w:kern w:val="0"/>
          <w:sz w:val="24"/>
        </w:rPr>
        <w:t>7、</w:t>
      </w:r>
      <w:r>
        <w:rPr>
          <w:rFonts w:hint="eastAsia" w:ascii="宋体" w:hAnsi="宋体"/>
          <w:color w:val="000000"/>
          <w:kern w:val="0"/>
          <w:sz w:val="24"/>
          <w:szCs w:val="22"/>
        </w:rPr>
        <w:t>不提供有违真实的材料，不进行缺乏事实根据或者法律依据的质疑或投诉；</w:t>
      </w:r>
    </w:p>
    <w:p>
      <w:pPr>
        <w:spacing w:line="360" w:lineRule="auto"/>
        <w:ind w:firstLine="602" w:firstLineChars="250"/>
        <w:jc w:val="left"/>
        <w:rPr>
          <w:rFonts w:ascii="宋体" w:hAnsi="宋体" w:cs="仿宋_GB2312"/>
          <w:b/>
          <w:color w:val="000000"/>
          <w:kern w:val="0"/>
          <w:sz w:val="24"/>
        </w:rPr>
      </w:pPr>
      <w:r>
        <w:rPr>
          <w:rFonts w:hint="eastAsia" w:ascii="宋体" w:hAnsi="宋体"/>
          <w:b/>
          <w:color w:val="000000"/>
          <w:kern w:val="0"/>
          <w:sz w:val="24"/>
          <w:szCs w:val="22"/>
        </w:rPr>
        <w:t>8、</w:t>
      </w:r>
      <w:r>
        <w:rPr>
          <w:rFonts w:hint="eastAsia" w:ascii="宋体" w:hAnsi="宋体" w:cs="仿宋_GB2312"/>
          <w:b/>
          <w:color w:val="000000"/>
          <w:kern w:val="0"/>
          <w:sz w:val="24"/>
        </w:rPr>
        <w:t>本公告发布之日前三年，我单位及法定代表人、拟任项目负责人无行贿犯罪记录；</w:t>
      </w:r>
    </w:p>
    <w:p>
      <w:pPr>
        <w:spacing w:line="360" w:lineRule="auto"/>
        <w:ind w:firstLine="600" w:firstLineChars="250"/>
        <w:jc w:val="left"/>
        <w:rPr>
          <w:rFonts w:ascii="宋体" w:hAnsi="宋体" w:cs="仿宋_GB2312"/>
          <w:b/>
          <w:color w:val="000000"/>
          <w:kern w:val="0"/>
          <w:sz w:val="24"/>
        </w:rPr>
      </w:pPr>
      <w:r>
        <w:rPr>
          <w:rFonts w:hint="eastAsia" w:ascii="宋体" w:hAnsi="宋体" w:cs="仿宋_GB2312"/>
          <w:color w:val="000000"/>
          <w:kern w:val="0"/>
          <w:sz w:val="24"/>
        </w:rPr>
        <w:t>9、</w:t>
      </w:r>
      <w:r>
        <w:rPr>
          <w:rFonts w:hint="eastAsia" w:ascii="宋体" w:hAnsi="宋体" w:cs="仿宋_GB2312"/>
          <w:b/>
          <w:color w:val="000000"/>
          <w:kern w:val="0"/>
          <w:sz w:val="24"/>
        </w:rPr>
        <w:t>我单位承诺确保本工程一次性通过相关部门验收，否则给招标人造成的一切损失由我方承担。</w:t>
      </w:r>
    </w:p>
    <w:p>
      <w:pPr>
        <w:spacing w:line="360" w:lineRule="auto"/>
        <w:ind w:firstLine="602" w:firstLineChars="250"/>
        <w:jc w:val="left"/>
        <w:rPr>
          <w:rFonts w:ascii="宋体" w:hAnsi="宋体"/>
          <w:color w:val="000000"/>
          <w:kern w:val="0"/>
          <w:sz w:val="24"/>
          <w:szCs w:val="22"/>
        </w:rPr>
      </w:pPr>
      <w:r>
        <w:rPr>
          <w:rFonts w:hint="eastAsia" w:ascii="宋体" w:hAnsi="宋体" w:cs="仿宋_GB2312"/>
          <w:b/>
          <w:color w:val="000000"/>
          <w:kern w:val="0"/>
          <w:sz w:val="24"/>
        </w:rPr>
        <w:t>10、</w:t>
      </w:r>
      <w:r>
        <w:rPr>
          <w:rFonts w:hint="eastAsia" w:ascii="宋体" w:hAnsi="宋体"/>
          <w:b/>
          <w:color w:val="000000"/>
          <w:sz w:val="24"/>
        </w:rPr>
        <w:t>根据六安市住建委、安监局、公管局六建法【2018】80号文件精神，</w:t>
      </w:r>
      <w:r>
        <w:rPr>
          <w:rFonts w:hint="eastAsia" w:ascii="宋体" w:hAnsi="宋体" w:cs="仿宋_GB2312"/>
          <w:b/>
          <w:color w:val="000000"/>
          <w:kern w:val="0"/>
          <w:sz w:val="24"/>
        </w:rPr>
        <w:t>经核实，我单位没有</w:t>
      </w:r>
      <w:r>
        <w:rPr>
          <w:rFonts w:hint="eastAsia" w:ascii="宋体" w:hAnsi="宋体"/>
          <w:b/>
          <w:color w:val="000000"/>
          <w:sz w:val="24"/>
        </w:rPr>
        <w:t>记入不良行为记录的单位和人员且在公布期限内。</w:t>
      </w:r>
    </w:p>
    <w:p>
      <w:pPr>
        <w:spacing w:line="360" w:lineRule="auto"/>
        <w:ind w:firstLine="602" w:firstLineChars="250"/>
        <w:jc w:val="left"/>
        <w:rPr>
          <w:rFonts w:ascii="宋体" w:hAnsi="宋体"/>
          <w:b/>
          <w:color w:val="000000"/>
          <w:kern w:val="0"/>
          <w:sz w:val="24"/>
        </w:rPr>
      </w:pPr>
      <w:r>
        <w:rPr>
          <w:rFonts w:hint="eastAsia" w:ascii="宋体" w:hAnsi="宋体"/>
          <w:b/>
          <w:color w:val="000000"/>
          <w:kern w:val="0"/>
          <w:sz w:val="24"/>
        </w:rPr>
        <w:t>11、如我方违背了上述承诺，本项目招标人有权取消我方的中标资格，并由招标人将我方的违约行为上报县公共资源交易监督管理局及相关主管部门记不良记录，并纳入建设市场信用信息管理系统。</w:t>
      </w:r>
    </w:p>
    <w:p>
      <w:pPr>
        <w:spacing w:line="360" w:lineRule="auto"/>
        <w:ind w:firstLine="420"/>
        <w:jc w:val="left"/>
        <w:rPr>
          <w:rFonts w:ascii="宋体" w:hAnsi="宋体" w:cs="仿宋_GB2312"/>
          <w:color w:val="000000"/>
          <w:kern w:val="0"/>
          <w:sz w:val="24"/>
        </w:rPr>
      </w:pPr>
      <w:r>
        <w:rPr>
          <w:rFonts w:hint="eastAsia" w:ascii="宋体" w:hAnsi="宋体" w:cs="仿宋_GB2312"/>
          <w:color w:val="000000"/>
          <w:kern w:val="0"/>
          <w:sz w:val="24"/>
        </w:rPr>
        <w:t xml:space="preserve"> 特此承诺。</w:t>
      </w:r>
    </w:p>
    <w:p>
      <w:pPr>
        <w:spacing w:line="360" w:lineRule="auto"/>
        <w:jc w:val="right"/>
        <w:rPr>
          <w:rFonts w:ascii="宋体" w:hAnsi="宋体" w:cs="仿宋_GB2312"/>
          <w:color w:val="000000"/>
          <w:kern w:val="0"/>
          <w:sz w:val="24"/>
        </w:rPr>
      </w:pPr>
      <w:r>
        <w:rPr>
          <w:rFonts w:hint="eastAsia" w:ascii="宋体" w:hAnsi="宋体" w:cs="仿宋_GB2312"/>
          <w:color w:val="000000"/>
          <w:kern w:val="0"/>
          <w:sz w:val="24"/>
        </w:rPr>
        <w:t>供应商名称：</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（盖单位章）</w:t>
      </w:r>
    </w:p>
    <w:p>
      <w:pPr>
        <w:spacing w:line="360" w:lineRule="auto"/>
        <w:jc w:val="right"/>
        <w:rPr>
          <w:rFonts w:ascii="宋体" w:hAnsi="宋体" w:cs="仿宋_GB2312"/>
          <w:color w:val="000000"/>
          <w:kern w:val="0"/>
          <w:sz w:val="24"/>
        </w:rPr>
      </w:pPr>
      <w:r>
        <w:rPr>
          <w:rFonts w:hint="eastAsia" w:ascii="宋体" w:hAnsi="宋体" w:cs="仿宋_GB2312"/>
          <w:color w:val="000000"/>
          <w:kern w:val="0"/>
          <w:sz w:val="24"/>
        </w:rPr>
        <w:t>法定代表人或其委托代理人：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（签字或盖章）</w:t>
      </w:r>
    </w:p>
    <w:p>
      <w:pPr>
        <w:wordWrap w:val="0"/>
        <w:spacing w:line="360" w:lineRule="auto"/>
        <w:ind w:firstLine="6600" w:firstLineChars="2750"/>
        <w:jc w:val="left"/>
        <w:rPr>
          <w:rFonts w:ascii="宋体" w:hAnsi="宋体"/>
          <w:color w:val="000000"/>
          <w:kern w:val="0"/>
          <w:sz w:val="24"/>
          <w:u w:val="single"/>
        </w:rPr>
      </w:pPr>
      <w:r>
        <w:rPr>
          <w:rFonts w:hint="eastAsia" w:ascii="宋体" w:hAnsi="宋体"/>
          <w:color w:val="000000"/>
          <w:kern w:val="0"/>
          <w:sz w:val="24"/>
        </w:rPr>
        <w:t>日期：</w:t>
      </w:r>
      <w:r>
        <w:rPr>
          <w:rFonts w:hint="eastAsia" w:ascii="宋体" w:hAnsi="宋体"/>
          <w:color w:val="000000"/>
          <w:kern w:val="0"/>
          <w:sz w:val="24"/>
          <w:u w:val="single"/>
        </w:rPr>
        <w:t xml:space="preserve">         </w:t>
      </w:r>
    </w:p>
    <w:p>
      <w:pPr>
        <w:spacing w:line="320" w:lineRule="exact"/>
        <w:jc w:val="right"/>
        <w:rPr>
          <w:rFonts w:ascii="宋体" w:hAnsi="宋体" w:cs="仿宋_GB2312"/>
          <w:color w:val="000000"/>
          <w:kern w:val="0"/>
          <w:sz w:val="24"/>
        </w:rPr>
      </w:pPr>
      <w:r>
        <w:rPr>
          <w:rFonts w:hint="eastAsia" w:ascii="宋体" w:hAnsi="宋体" w:cs="仿宋_GB2312"/>
          <w:color w:val="000000"/>
          <w:kern w:val="0"/>
          <w:sz w:val="24"/>
        </w:rPr>
        <w:t xml:space="preserve"> </w:t>
      </w:r>
    </w:p>
    <w:p>
      <w:pPr>
        <w:spacing w:line="500" w:lineRule="exact"/>
        <w:jc w:val="right"/>
        <w:rPr>
          <w:rFonts w:ascii="宋体" w:hAnsi="宋体" w:cs="仿宋_GB2312"/>
          <w:b/>
          <w:bCs/>
          <w:color w:val="000000"/>
          <w:kern w:val="0"/>
          <w:sz w:val="24"/>
          <w:szCs w:val="22"/>
        </w:rPr>
      </w:pPr>
    </w:p>
    <w:p>
      <w:pPr>
        <w:spacing w:line="500" w:lineRule="exact"/>
        <w:jc w:val="center"/>
        <w:rPr>
          <w:rFonts w:ascii="宋体" w:hAnsi="宋体" w:cs="仿宋_GB2312"/>
          <w:b/>
          <w:bCs/>
          <w:color w:val="000000"/>
          <w:kern w:val="0"/>
          <w:sz w:val="24"/>
          <w:szCs w:val="22"/>
        </w:rPr>
      </w:pPr>
    </w:p>
    <w:p>
      <w:pPr>
        <w:jc w:val="left"/>
        <w:rPr>
          <w:rFonts w:ascii="宋体" w:hAnsi="宋体" w:cs="仿宋_GB2312"/>
          <w:bCs/>
          <w:color w:val="FF0000"/>
          <w:kern w:val="0"/>
          <w:sz w:val="24"/>
          <w:szCs w:val="22"/>
        </w:rPr>
      </w:pPr>
    </w:p>
    <w:p>
      <w:pPr>
        <w:spacing w:line="360" w:lineRule="auto"/>
        <w:jc w:val="center"/>
        <w:rPr>
          <w:rFonts w:ascii="宋体" w:hAnsi="宋体"/>
          <w:color w:val="FF0000"/>
          <w:sz w:val="24"/>
        </w:rPr>
      </w:pPr>
      <w:r>
        <w:rPr>
          <w:rFonts w:ascii="宋体" w:hAnsi="宋体"/>
          <w:color w:val="FF0000"/>
          <w:sz w:val="24"/>
        </w:rPr>
        <w:t xml:space="preserve"> </w:t>
      </w:r>
    </w:p>
    <w:p>
      <w:pPr>
        <w:spacing w:line="360" w:lineRule="auto"/>
        <w:rPr>
          <w:rFonts w:ascii="宋体" w:hAnsi="宋体" w:cs="仿宋_GB2312"/>
          <w:bCs/>
          <w:color w:val="000000"/>
          <w:kern w:val="0"/>
          <w:sz w:val="24"/>
          <w:szCs w:val="22"/>
        </w:rPr>
      </w:pPr>
    </w:p>
    <w:sectPr>
      <w:headerReference r:id="rId3" w:type="default"/>
      <w:footerReference r:id="rId4" w:type="default"/>
      <w:footerReference r:id="rId5" w:type="even"/>
      <w:pgSz w:w="11907" w:h="16840"/>
      <w:pgMar w:top="1418" w:right="1134" w:bottom="1134" w:left="1701" w:header="851" w:footer="851" w:gutter="0"/>
      <w:pgNumType w:start="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文鼎ＰＬ简中楷">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modern"/>
    <w:pitch w:val="default"/>
    <w:sig w:usb0="E00002FF" w:usb1="6AC7FDFB" w:usb2="00000012" w:usb3="00000000" w:csb0="4002009F" w:csb1="DFD7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2"/>
      </w:rPr>
    </w:pPr>
    <w:r>
      <w:fldChar w:fldCharType="begin"/>
    </w:r>
    <w:r>
      <w:rPr>
        <w:rStyle w:val="52"/>
      </w:rPr>
      <w:instrText xml:space="preserve">PAGE  </w:instrText>
    </w:r>
    <w:r>
      <w:fldChar w:fldCharType="separate"/>
    </w:r>
    <w:r>
      <w:rPr>
        <w:rStyle w:val="52"/>
      </w:rPr>
      <w:t>46</w:t>
    </w:r>
    <w:r>
      <w:fldChar w:fldCharType="end"/>
    </w:r>
  </w:p>
  <w:p>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2"/>
      </w:rPr>
    </w:pPr>
    <w:r>
      <w:fldChar w:fldCharType="begin"/>
    </w:r>
    <w:r>
      <w:rPr>
        <w:rStyle w:val="52"/>
      </w:rPr>
      <w:instrText xml:space="preserve">PAGE  </w:instrText>
    </w:r>
    <w:r>
      <w:fldChar w:fldCharType="end"/>
    </w:r>
  </w:p>
  <w:p>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rFonts w:eastAsia="隶书"/>
        <w:sz w:val="21"/>
        <w:szCs w:val="21"/>
      </w:rPr>
    </w:pP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2F2B81"/>
    <w:multiLevelType w:val="multilevel"/>
    <w:tmpl w:val="292F2B81"/>
    <w:lvl w:ilvl="0" w:tentative="0">
      <w:start w:val="1"/>
      <w:numFmt w:val="decimal"/>
      <w:lvlText w:val="%1、"/>
      <w:lvlJc w:val="left"/>
      <w:pPr>
        <w:tabs>
          <w:tab w:val="left" w:pos="1080"/>
        </w:tabs>
        <w:ind w:left="1080" w:hanging="360"/>
      </w:pPr>
      <w:rPr>
        <w:rFonts w:hint="default"/>
      </w:rPr>
    </w:lvl>
    <w:lvl w:ilvl="1" w:tentative="0">
      <w:start w:val="1"/>
      <w:numFmt w:val="lowerLetter"/>
      <w:lvlText w:val="%2)"/>
      <w:lvlJc w:val="left"/>
      <w:pPr>
        <w:tabs>
          <w:tab w:val="left" w:pos="1339"/>
        </w:tabs>
        <w:ind w:left="1339" w:hanging="420"/>
      </w:pPr>
    </w:lvl>
    <w:lvl w:ilvl="2" w:tentative="0">
      <w:start w:val="1"/>
      <w:numFmt w:val="lowerRoman"/>
      <w:lvlText w:val="%3."/>
      <w:lvlJc w:val="right"/>
      <w:pPr>
        <w:tabs>
          <w:tab w:val="left" w:pos="1759"/>
        </w:tabs>
        <w:ind w:left="1759" w:hanging="420"/>
      </w:pPr>
    </w:lvl>
    <w:lvl w:ilvl="3" w:tentative="0">
      <w:start w:val="1"/>
      <w:numFmt w:val="decimal"/>
      <w:lvlText w:val="%4."/>
      <w:lvlJc w:val="left"/>
      <w:pPr>
        <w:tabs>
          <w:tab w:val="left" w:pos="2179"/>
        </w:tabs>
        <w:ind w:left="2179" w:hanging="420"/>
      </w:pPr>
    </w:lvl>
    <w:lvl w:ilvl="4" w:tentative="0">
      <w:start w:val="1"/>
      <w:numFmt w:val="lowerLetter"/>
      <w:lvlText w:val="%5)"/>
      <w:lvlJc w:val="left"/>
      <w:pPr>
        <w:tabs>
          <w:tab w:val="left" w:pos="2599"/>
        </w:tabs>
        <w:ind w:left="2599" w:hanging="420"/>
      </w:pPr>
    </w:lvl>
    <w:lvl w:ilvl="5" w:tentative="0">
      <w:start w:val="1"/>
      <w:numFmt w:val="lowerRoman"/>
      <w:lvlText w:val="%6."/>
      <w:lvlJc w:val="right"/>
      <w:pPr>
        <w:tabs>
          <w:tab w:val="left" w:pos="3019"/>
        </w:tabs>
        <w:ind w:left="3019" w:hanging="420"/>
      </w:pPr>
    </w:lvl>
    <w:lvl w:ilvl="6" w:tentative="0">
      <w:start w:val="1"/>
      <w:numFmt w:val="decimal"/>
      <w:lvlText w:val="%7."/>
      <w:lvlJc w:val="left"/>
      <w:pPr>
        <w:tabs>
          <w:tab w:val="left" w:pos="3439"/>
        </w:tabs>
        <w:ind w:left="3439" w:hanging="420"/>
      </w:pPr>
    </w:lvl>
    <w:lvl w:ilvl="7" w:tentative="0">
      <w:start w:val="1"/>
      <w:numFmt w:val="lowerLetter"/>
      <w:lvlText w:val="%8)"/>
      <w:lvlJc w:val="left"/>
      <w:pPr>
        <w:tabs>
          <w:tab w:val="left" w:pos="3859"/>
        </w:tabs>
        <w:ind w:left="3859" w:hanging="420"/>
      </w:pPr>
    </w:lvl>
    <w:lvl w:ilvl="8" w:tentative="0">
      <w:start w:val="1"/>
      <w:numFmt w:val="lowerRoman"/>
      <w:lvlText w:val="%9."/>
      <w:lvlJc w:val="right"/>
      <w:pPr>
        <w:tabs>
          <w:tab w:val="left" w:pos="4279"/>
        </w:tabs>
        <w:ind w:left="4279" w:hanging="420"/>
      </w:pPr>
    </w:lvl>
  </w:abstractNum>
  <w:abstractNum w:abstractNumId="1">
    <w:nsid w:val="39D55B29"/>
    <w:multiLevelType w:val="multilevel"/>
    <w:tmpl w:val="39D55B29"/>
    <w:lvl w:ilvl="0" w:tentative="0">
      <w:start w:val="1"/>
      <w:numFmt w:val="japaneseCounting"/>
      <w:lvlText w:val="%1、"/>
      <w:lvlJc w:val="left"/>
      <w:pPr>
        <w:ind w:left="1020" w:hanging="690"/>
      </w:pPr>
      <w:rPr>
        <w:rFonts w:hint="default" w:ascii="Arial" w:hAnsi="Arial" w:eastAsia="黑体"/>
        <w:sz w:val="32"/>
      </w:rPr>
    </w:lvl>
    <w:lvl w:ilvl="1" w:tentative="0">
      <w:start w:val="1"/>
      <w:numFmt w:val="lowerLetter"/>
      <w:lvlText w:val="%2)"/>
      <w:lvlJc w:val="left"/>
      <w:pPr>
        <w:ind w:left="1170" w:hanging="420"/>
      </w:pPr>
    </w:lvl>
    <w:lvl w:ilvl="2" w:tentative="0">
      <w:start w:val="1"/>
      <w:numFmt w:val="lowerRoman"/>
      <w:lvlText w:val="%3."/>
      <w:lvlJc w:val="right"/>
      <w:pPr>
        <w:ind w:left="1590" w:hanging="420"/>
      </w:pPr>
    </w:lvl>
    <w:lvl w:ilvl="3" w:tentative="0">
      <w:start w:val="1"/>
      <w:numFmt w:val="decimal"/>
      <w:lvlText w:val="%4."/>
      <w:lvlJc w:val="left"/>
      <w:pPr>
        <w:ind w:left="2010" w:hanging="420"/>
      </w:pPr>
    </w:lvl>
    <w:lvl w:ilvl="4" w:tentative="0">
      <w:start w:val="1"/>
      <w:numFmt w:val="lowerLetter"/>
      <w:lvlText w:val="%5)"/>
      <w:lvlJc w:val="left"/>
      <w:pPr>
        <w:ind w:left="2430" w:hanging="420"/>
      </w:pPr>
    </w:lvl>
    <w:lvl w:ilvl="5" w:tentative="0">
      <w:start w:val="1"/>
      <w:numFmt w:val="lowerRoman"/>
      <w:lvlText w:val="%6."/>
      <w:lvlJc w:val="right"/>
      <w:pPr>
        <w:ind w:left="2850" w:hanging="420"/>
      </w:pPr>
    </w:lvl>
    <w:lvl w:ilvl="6" w:tentative="0">
      <w:start w:val="1"/>
      <w:numFmt w:val="decimal"/>
      <w:lvlText w:val="%7."/>
      <w:lvlJc w:val="left"/>
      <w:pPr>
        <w:ind w:left="3270" w:hanging="420"/>
      </w:pPr>
    </w:lvl>
    <w:lvl w:ilvl="7" w:tentative="0">
      <w:start w:val="1"/>
      <w:numFmt w:val="lowerLetter"/>
      <w:lvlText w:val="%8)"/>
      <w:lvlJc w:val="left"/>
      <w:pPr>
        <w:ind w:left="3690" w:hanging="420"/>
      </w:pPr>
    </w:lvl>
    <w:lvl w:ilvl="8" w:tentative="0">
      <w:start w:val="1"/>
      <w:numFmt w:val="lowerRoman"/>
      <w:lvlText w:val="%9."/>
      <w:lvlJc w:val="right"/>
      <w:pPr>
        <w:ind w:left="4110" w:hanging="420"/>
      </w:pPr>
    </w:lvl>
  </w:abstractNum>
  <w:abstractNum w:abstractNumId="2">
    <w:nsid w:val="60AE39CC"/>
    <w:multiLevelType w:val="multilevel"/>
    <w:tmpl w:val="60AE39CC"/>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2C"/>
    <w:rsid w:val="00002484"/>
    <w:rsid w:val="00003BBE"/>
    <w:rsid w:val="00003EC6"/>
    <w:rsid w:val="00005E93"/>
    <w:rsid w:val="00006DAE"/>
    <w:rsid w:val="00010A51"/>
    <w:rsid w:val="000117B1"/>
    <w:rsid w:val="00012664"/>
    <w:rsid w:val="00012766"/>
    <w:rsid w:val="00014E0C"/>
    <w:rsid w:val="0001708A"/>
    <w:rsid w:val="00020662"/>
    <w:rsid w:val="00021B4D"/>
    <w:rsid w:val="00024AA3"/>
    <w:rsid w:val="00026BD8"/>
    <w:rsid w:val="00027D12"/>
    <w:rsid w:val="00027FC0"/>
    <w:rsid w:val="00032CA0"/>
    <w:rsid w:val="00034D39"/>
    <w:rsid w:val="000379C9"/>
    <w:rsid w:val="000424AC"/>
    <w:rsid w:val="00042D70"/>
    <w:rsid w:val="00043809"/>
    <w:rsid w:val="00044A29"/>
    <w:rsid w:val="00050309"/>
    <w:rsid w:val="00050728"/>
    <w:rsid w:val="00050FC4"/>
    <w:rsid w:val="00053A9E"/>
    <w:rsid w:val="00053AE2"/>
    <w:rsid w:val="000577AB"/>
    <w:rsid w:val="00057CC0"/>
    <w:rsid w:val="00060301"/>
    <w:rsid w:val="00061D69"/>
    <w:rsid w:val="000637CB"/>
    <w:rsid w:val="00063C3B"/>
    <w:rsid w:val="000654A9"/>
    <w:rsid w:val="00067B55"/>
    <w:rsid w:val="00067F5A"/>
    <w:rsid w:val="00072329"/>
    <w:rsid w:val="00074685"/>
    <w:rsid w:val="0008042C"/>
    <w:rsid w:val="00081239"/>
    <w:rsid w:val="0008267A"/>
    <w:rsid w:val="00082AAB"/>
    <w:rsid w:val="0008449C"/>
    <w:rsid w:val="00091887"/>
    <w:rsid w:val="0009263E"/>
    <w:rsid w:val="00092D97"/>
    <w:rsid w:val="00094BAE"/>
    <w:rsid w:val="0009596C"/>
    <w:rsid w:val="0009652F"/>
    <w:rsid w:val="000A0270"/>
    <w:rsid w:val="000A0961"/>
    <w:rsid w:val="000A09C3"/>
    <w:rsid w:val="000A0AD7"/>
    <w:rsid w:val="000A2C8A"/>
    <w:rsid w:val="000A3D0C"/>
    <w:rsid w:val="000A48D7"/>
    <w:rsid w:val="000A4CC1"/>
    <w:rsid w:val="000A5A23"/>
    <w:rsid w:val="000A61F8"/>
    <w:rsid w:val="000A6B04"/>
    <w:rsid w:val="000A70BF"/>
    <w:rsid w:val="000A7496"/>
    <w:rsid w:val="000A7865"/>
    <w:rsid w:val="000A7E21"/>
    <w:rsid w:val="000B0C0D"/>
    <w:rsid w:val="000B3092"/>
    <w:rsid w:val="000B3DA4"/>
    <w:rsid w:val="000B5F8A"/>
    <w:rsid w:val="000B6C28"/>
    <w:rsid w:val="000B7BDE"/>
    <w:rsid w:val="000C1371"/>
    <w:rsid w:val="000C2F4D"/>
    <w:rsid w:val="000C354E"/>
    <w:rsid w:val="000C3A81"/>
    <w:rsid w:val="000C4ADB"/>
    <w:rsid w:val="000C4E07"/>
    <w:rsid w:val="000C6E3E"/>
    <w:rsid w:val="000C7B0D"/>
    <w:rsid w:val="000D2990"/>
    <w:rsid w:val="000D396F"/>
    <w:rsid w:val="000D430E"/>
    <w:rsid w:val="000D4352"/>
    <w:rsid w:val="000D4F0A"/>
    <w:rsid w:val="000D6470"/>
    <w:rsid w:val="000D68EB"/>
    <w:rsid w:val="000D7018"/>
    <w:rsid w:val="000D717D"/>
    <w:rsid w:val="000D75EA"/>
    <w:rsid w:val="000E0670"/>
    <w:rsid w:val="000E0CB8"/>
    <w:rsid w:val="000E1C46"/>
    <w:rsid w:val="000E32F5"/>
    <w:rsid w:val="000E3343"/>
    <w:rsid w:val="000E3DDD"/>
    <w:rsid w:val="000E3F5B"/>
    <w:rsid w:val="000E3FDA"/>
    <w:rsid w:val="000E4158"/>
    <w:rsid w:val="000E5102"/>
    <w:rsid w:val="000E7809"/>
    <w:rsid w:val="000E7D76"/>
    <w:rsid w:val="000E7E7E"/>
    <w:rsid w:val="000F0E81"/>
    <w:rsid w:val="000F4E93"/>
    <w:rsid w:val="000F567D"/>
    <w:rsid w:val="000F5C7A"/>
    <w:rsid w:val="00100A1E"/>
    <w:rsid w:val="001023BA"/>
    <w:rsid w:val="00102412"/>
    <w:rsid w:val="00104CA1"/>
    <w:rsid w:val="001058FB"/>
    <w:rsid w:val="00105CEC"/>
    <w:rsid w:val="001078FC"/>
    <w:rsid w:val="00110C0D"/>
    <w:rsid w:val="001134D7"/>
    <w:rsid w:val="00114A9E"/>
    <w:rsid w:val="00114B41"/>
    <w:rsid w:val="00114F2A"/>
    <w:rsid w:val="001164C5"/>
    <w:rsid w:val="00116D34"/>
    <w:rsid w:val="00117F74"/>
    <w:rsid w:val="00120518"/>
    <w:rsid w:val="00121D85"/>
    <w:rsid w:val="00121E3F"/>
    <w:rsid w:val="00122258"/>
    <w:rsid w:val="001230FE"/>
    <w:rsid w:val="00123AB0"/>
    <w:rsid w:val="001242E5"/>
    <w:rsid w:val="001303C3"/>
    <w:rsid w:val="00130EB0"/>
    <w:rsid w:val="00131DC7"/>
    <w:rsid w:val="0013336D"/>
    <w:rsid w:val="00133A1E"/>
    <w:rsid w:val="00134579"/>
    <w:rsid w:val="00137C74"/>
    <w:rsid w:val="00141496"/>
    <w:rsid w:val="00142715"/>
    <w:rsid w:val="00142996"/>
    <w:rsid w:val="00145887"/>
    <w:rsid w:val="00145CC8"/>
    <w:rsid w:val="0014781F"/>
    <w:rsid w:val="001541A7"/>
    <w:rsid w:val="00154595"/>
    <w:rsid w:val="0015566D"/>
    <w:rsid w:val="00155A95"/>
    <w:rsid w:val="00155C8C"/>
    <w:rsid w:val="00156149"/>
    <w:rsid w:val="001575D0"/>
    <w:rsid w:val="001602B7"/>
    <w:rsid w:val="00161ADF"/>
    <w:rsid w:val="0016690D"/>
    <w:rsid w:val="00167E8B"/>
    <w:rsid w:val="00170134"/>
    <w:rsid w:val="00170354"/>
    <w:rsid w:val="00170949"/>
    <w:rsid w:val="0017139B"/>
    <w:rsid w:val="001729B8"/>
    <w:rsid w:val="0017345A"/>
    <w:rsid w:val="001755BA"/>
    <w:rsid w:val="00175F81"/>
    <w:rsid w:val="001808DD"/>
    <w:rsid w:val="00181FA0"/>
    <w:rsid w:val="00185593"/>
    <w:rsid w:val="0018705C"/>
    <w:rsid w:val="001879CF"/>
    <w:rsid w:val="001904EB"/>
    <w:rsid w:val="00191389"/>
    <w:rsid w:val="00191AEC"/>
    <w:rsid w:val="001922DB"/>
    <w:rsid w:val="00192783"/>
    <w:rsid w:val="00193646"/>
    <w:rsid w:val="00194FB6"/>
    <w:rsid w:val="00195461"/>
    <w:rsid w:val="001A2570"/>
    <w:rsid w:val="001A28B0"/>
    <w:rsid w:val="001A367A"/>
    <w:rsid w:val="001A4D0A"/>
    <w:rsid w:val="001A5F84"/>
    <w:rsid w:val="001A61AB"/>
    <w:rsid w:val="001A7941"/>
    <w:rsid w:val="001A7F85"/>
    <w:rsid w:val="001B14DC"/>
    <w:rsid w:val="001B1C38"/>
    <w:rsid w:val="001B2CE5"/>
    <w:rsid w:val="001B359A"/>
    <w:rsid w:val="001B3AD7"/>
    <w:rsid w:val="001B3B79"/>
    <w:rsid w:val="001B5B68"/>
    <w:rsid w:val="001C107F"/>
    <w:rsid w:val="001C2894"/>
    <w:rsid w:val="001C37DC"/>
    <w:rsid w:val="001C3B6A"/>
    <w:rsid w:val="001C6C28"/>
    <w:rsid w:val="001C6F26"/>
    <w:rsid w:val="001C7290"/>
    <w:rsid w:val="001C74C7"/>
    <w:rsid w:val="001D0A28"/>
    <w:rsid w:val="001D0DCE"/>
    <w:rsid w:val="001D4372"/>
    <w:rsid w:val="001D5B42"/>
    <w:rsid w:val="001D5E2A"/>
    <w:rsid w:val="001D68EA"/>
    <w:rsid w:val="001D7E16"/>
    <w:rsid w:val="001D7F5B"/>
    <w:rsid w:val="001E19F7"/>
    <w:rsid w:val="001E4170"/>
    <w:rsid w:val="001E5409"/>
    <w:rsid w:val="001E6DB2"/>
    <w:rsid w:val="001E73F5"/>
    <w:rsid w:val="001F0175"/>
    <w:rsid w:val="001F0908"/>
    <w:rsid w:val="001F17B8"/>
    <w:rsid w:val="001F1F11"/>
    <w:rsid w:val="001F32E2"/>
    <w:rsid w:val="001F3301"/>
    <w:rsid w:val="001F34E5"/>
    <w:rsid w:val="001F471C"/>
    <w:rsid w:val="001F6691"/>
    <w:rsid w:val="001F743C"/>
    <w:rsid w:val="001F7F95"/>
    <w:rsid w:val="00201594"/>
    <w:rsid w:val="00201DDD"/>
    <w:rsid w:val="00202644"/>
    <w:rsid w:val="00204F1F"/>
    <w:rsid w:val="002069DE"/>
    <w:rsid w:val="00206E6D"/>
    <w:rsid w:val="00217BA9"/>
    <w:rsid w:val="00217C18"/>
    <w:rsid w:val="00220F10"/>
    <w:rsid w:val="00223818"/>
    <w:rsid w:val="002257F1"/>
    <w:rsid w:val="0022640D"/>
    <w:rsid w:val="002272F3"/>
    <w:rsid w:val="00227A76"/>
    <w:rsid w:val="00230881"/>
    <w:rsid w:val="00230A46"/>
    <w:rsid w:val="00232400"/>
    <w:rsid w:val="00233FCD"/>
    <w:rsid w:val="00234EA6"/>
    <w:rsid w:val="00234F30"/>
    <w:rsid w:val="00236C34"/>
    <w:rsid w:val="00237E68"/>
    <w:rsid w:val="0024049C"/>
    <w:rsid w:val="0024079F"/>
    <w:rsid w:val="002411E0"/>
    <w:rsid w:val="00245532"/>
    <w:rsid w:val="00247918"/>
    <w:rsid w:val="00250EDC"/>
    <w:rsid w:val="00251656"/>
    <w:rsid w:val="00252199"/>
    <w:rsid w:val="00252415"/>
    <w:rsid w:val="00252447"/>
    <w:rsid w:val="00252624"/>
    <w:rsid w:val="00255BE8"/>
    <w:rsid w:val="0025760C"/>
    <w:rsid w:val="0026068E"/>
    <w:rsid w:val="0026216D"/>
    <w:rsid w:val="002621C9"/>
    <w:rsid w:val="002638C4"/>
    <w:rsid w:val="002650FA"/>
    <w:rsid w:val="0027420E"/>
    <w:rsid w:val="0027469E"/>
    <w:rsid w:val="00276DF5"/>
    <w:rsid w:val="00277BCD"/>
    <w:rsid w:val="0028033A"/>
    <w:rsid w:val="00280496"/>
    <w:rsid w:val="00280683"/>
    <w:rsid w:val="00281212"/>
    <w:rsid w:val="00281542"/>
    <w:rsid w:val="002816AC"/>
    <w:rsid w:val="0028579C"/>
    <w:rsid w:val="00285EFB"/>
    <w:rsid w:val="002862FC"/>
    <w:rsid w:val="00286836"/>
    <w:rsid w:val="00286A7C"/>
    <w:rsid w:val="00286D7C"/>
    <w:rsid w:val="00287153"/>
    <w:rsid w:val="00291995"/>
    <w:rsid w:val="0029211D"/>
    <w:rsid w:val="00295650"/>
    <w:rsid w:val="00295C8D"/>
    <w:rsid w:val="0029665A"/>
    <w:rsid w:val="002967D6"/>
    <w:rsid w:val="00297A88"/>
    <w:rsid w:val="002A03EB"/>
    <w:rsid w:val="002A2B0B"/>
    <w:rsid w:val="002A3C56"/>
    <w:rsid w:val="002A4DA2"/>
    <w:rsid w:val="002A50DF"/>
    <w:rsid w:val="002A5E7C"/>
    <w:rsid w:val="002B0071"/>
    <w:rsid w:val="002B2299"/>
    <w:rsid w:val="002B30CA"/>
    <w:rsid w:val="002B3B98"/>
    <w:rsid w:val="002B3E14"/>
    <w:rsid w:val="002B3E60"/>
    <w:rsid w:val="002B50D2"/>
    <w:rsid w:val="002B55A0"/>
    <w:rsid w:val="002B6569"/>
    <w:rsid w:val="002B73E8"/>
    <w:rsid w:val="002C0FFC"/>
    <w:rsid w:val="002C228F"/>
    <w:rsid w:val="002C24E0"/>
    <w:rsid w:val="002C585F"/>
    <w:rsid w:val="002C699C"/>
    <w:rsid w:val="002D06B4"/>
    <w:rsid w:val="002D16D7"/>
    <w:rsid w:val="002D1706"/>
    <w:rsid w:val="002D29A7"/>
    <w:rsid w:val="002D2CD6"/>
    <w:rsid w:val="002D36A6"/>
    <w:rsid w:val="002D62E5"/>
    <w:rsid w:val="002D6CA6"/>
    <w:rsid w:val="002E0625"/>
    <w:rsid w:val="002E31CA"/>
    <w:rsid w:val="002E5869"/>
    <w:rsid w:val="002F13BF"/>
    <w:rsid w:val="002F18BC"/>
    <w:rsid w:val="002F1DFE"/>
    <w:rsid w:val="002F353E"/>
    <w:rsid w:val="002F404E"/>
    <w:rsid w:val="00302919"/>
    <w:rsid w:val="003030B0"/>
    <w:rsid w:val="00306C9D"/>
    <w:rsid w:val="00307CD9"/>
    <w:rsid w:val="00310AB6"/>
    <w:rsid w:val="00311E4F"/>
    <w:rsid w:val="00312505"/>
    <w:rsid w:val="00313275"/>
    <w:rsid w:val="003143B8"/>
    <w:rsid w:val="00314E0A"/>
    <w:rsid w:val="003171B2"/>
    <w:rsid w:val="00317BB0"/>
    <w:rsid w:val="0032093D"/>
    <w:rsid w:val="00320BBD"/>
    <w:rsid w:val="00321998"/>
    <w:rsid w:val="00323863"/>
    <w:rsid w:val="00324969"/>
    <w:rsid w:val="003252DC"/>
    <w:rsid w:val="0032566B"/>
    <w:rsid w:val="0032570E"/>
    <w:rsid w:val="003260DC"/>
    <w:rsid w:val="003265BF"/>
    <w:rsid w:val="00331370"/>
    <w:rsid w:val="00334402"/>
    <w:rsid w:val="00334DE7"/>
    <w:rsid w:val="00336C27"/>
    <w:rsid w:val="00337DB9"/>
    <w:rsid w:val="0034066D"/>
    <w:rsid w:val="00341841"/>
    <w:rsid w:val="00341C28"/>
    <w:rsid w:val="00341D40"/>
    <w:rsid w:val="00341F89"/>
    <w:rsid w:val="003432CF"/>
    <w:rsid w:val="0034592F"/>
    <w:rsid w:val="00346577"/>
    <w:rsid w:val="00352098"/>
    <w:rsid w:val="00352F8C"/>
    <w:rsid w:val="00355419"/>
    <w:rsid w:val="00357797"/>
    <w:rsid w:val="00360AA8"/>
    <w:rsid w:val="00362C31"/>
    <w:rsid w:val="00363324"/>
    <w:rsid w:val="00365A72"/>
    <w:rsid w:val="00367308"/>
    <w:rsid w:val="00367838"/>
    <w:rsid w:val="00370204"/>
    <w:rsid w:val="00371F1B"/>
    <w:rsid w:val="00372016"/>
    <w:rsid w:val="00372D5E"/>
    <w:rsid w:val="00374603"/>
    <w:rsid w:val="00375263"/>
    <w:rsid w:val="00381E82"/>
    <w:rsid w:val="0038220E"/>
    <w:rsid w:val="00382A73"/>
    <w:rsid w:val="0038343A"/>
    <w:rsid w:val="00383E76"/>
    <w:rsid w:val="0038520D"/>
    <w:rsid w:val="00385A5E"/>
    <w:rsid w:val="00386AD1"/>
    <w:rsid w:val="003904DA"/>
    <w:rsid w:val="00390AD0"/>
    <w:rsid w:val="003948AE"/>
    <w:rsid w:val="00395C00"/>
    <w:rsid w:val="00397088"/>
    <w:rsid w:val="003A1906"/>
    <w:rsid w:val="003A331B"/>
    <w:rsid w:val="003A536B"/>
    <w:rsid w:val="003B14DD"/>
    <w:rsid w:val="003B1D5D"/>
    <w:rsid w:val="003B2991"/>
    <w:rsid w:val="003B2A6D"/>
    <w:rsid w:val="003B2C63"/>
    <w:rsid w:val="003B31A0"/>
    <w:rsid w:val="003B4633"/>
    <w:rsid w:val="003B48DD"/>
    <w:rsid w:val="003C0042"/>
    <w:rsid w:val="003C03B5"/>
    <w:rsid w:val="003C4931"/>
    <w:rsid w:val="003C6350"/>
    <w:rsid w:val="003C6B1C"/>
    <w:rsid w:val="003C7007"/>
    <w:rsid w:val="003D0403"/>
    <w:rsid w:val="003D0A70"/>
    <w:rsid w:val="003D1B09"/>
    <w:rsid w:val="003D3A61"/>
    <w:rsid w:val="003D5F9A"/>
    <w:rsid w:val="003D64D1"/>
    <w:rsid w:val="003D66D0"/>
    <w:rsid w:val="003D6AC2"/>
    <w:rsid w:val="003E0078"/>
    <w:rsid w:val="003E34FB"/>
    <w:rsid w:val="003E404B"/>
    <w:rsid w:val="003E52EF"/>
    <w:rsid w:val="003E7062"/>
    <w:rsid w:val="003F028B"/>
    <w:rsid w:val="003F0809"/>
    <w:rsid w:val="003F08CC"/>
    <w:rsid w:val="003F0B82"/>
    <w:rsid w:val="003F1806"/>
    <w:rsid w:val="003F3F73"/>
    <w:rsid w:val="003F4AFD"/>
    <w:rsid w:val="003F7787"/>
    <w:rsid w:val="003F7DF1"/>
    <w:rsid w:val="004015D4"/>
    <w:rsid w:val="00401CD1"/>
    <w:rsid w:val="00402E4F"/>
    <w:rsid w:val="00403BEC"/>
    <w:rsid w:val="00406167"/>
    <w:rsid w:val="00406EF8"/>
    <w:rsid w:val="00407F5D"/>
    <w:rsid w:val="00411ED2"/>
    <w:rsid w:val="00412042"/>
    <w:rsid w:val="00413405"/>
    <w:rsid w:val="00413DA8"/>
    <w:rsid w:val="004155D5"/>
    <w:rsid w:val="00415A2C"/>
    <w:rsid w:val="004160E0"/>
    <w:rsid w:val="00416221"/>
    <w:rsid w:val="00420FBA"/>
    <w:rsid w:val="00422A1E"/>
    <w:rsid w:val="00422A75"/>
    <w:rsid w:val="004237CC"/>
    <w:rsid w:val="00423BB5"/>
    <w:rsid w:val="004267D1"/>
    <w:rsid w:val="00426FA3"/>
    <w:rsid w:val="00427157"/>
    <w:rsid w:val="004278D2"/>
    <w:rsid w:val="00430A85"/>
    <w:rsid w:val="004311FE"/>
    <w:rsid w:val="004318F7"/>
    <w:rsid w:val="00432677"/>
    <w:rsid w:val="00433210"/>
    <w:rsid w:val="00436594"/>
    <w:rsid w:val="00437A50"/>
    <w:rsid w:val="00440700"/>
    <w:rsid w:val="00442578"/>
    <w:rsid w:val="00442D75"/>
    <w:rsid w:val="00442DDD"/>
    <w:rsid w:val="00442EFC"/>
    <w:rsid w:val="00443190"/>
    <w:rsid w:val="00443E74"/>
    <w:rsid w:val="00444E4B"/>
    <w:rsid w:val="00451F07"/>
    <w:rsid w:val="00452583"/>
    <w:rsid w:val="00452949"/>
    <w:rsid w:val="00455B44"/>
    <w:rsid w:val="00456EE8"/>
    <w:rsid w:val="0045743D"/>
    <w:rsid w:val="00457E5C"/>
    <w:rsid w:val="00460EC4"/>
    <w:rsid w:val="0046169F"/>
    <w:rsid w:val="00462F1A"/>
    <w:rsid w:val="00463A40"/>
    <w:rsid w:val="00464A24"/>
    <w:rsid w:val="00465171"/>
    <w:rsid w:val="00465846"/>
    <w:rsid w:val="00465B53"/>
    <w:rsid w:val="00465EA3"/>
    <w:rsid w:val="00465EAB"/>
    <w:rsid w:val="00466405"/>
    <w:rsid w:val="00466D02"/>
    <w:rsid w:val="00466D8F"/>
    <w:rsid w:val="004675E4"/>
    <w:rsid w:val="00471231"/>
    <w:rsid w:val="004731C9"/>
    <w:rsid w:val="00473FC8"/>
    <w:rsid w:val="00474334"/>
    <w:rsid w:val="00474673"/>
    <w:rsid w:val="0047480E"/>
    <w:rsid w:val="0047502B"/>
    <w:rsid w:val="00475DE3"/>
    <w:rsid w:val="00477BD8"/>
    <w:rsid w:val="00481358"/>
    <w:rsid w:val="00485003"/>
    <w:rsid w:val="00485A44"/>
    <w:rsid w:val="00485C03"/>
    <w:rsid w:val="00486CF5"/>
    <w:rsid w:val="00487660"/>
    <w:rsid w:val="0049191F"/>
    <w:rsid w:val="00491D6E"/>
    <w:rsid w:val="004920C7"/>
    <w:rsid w:val="00493028"/>
    <w:rsid w:val="004935FB"/>
    <w:rsid w:val="00493CF2"/>
    <w:rsid w:val="004944A5"/>
    <w:rsid w:val="00494BDF"/>
    <w:rsid w:val="0049539F"/>
    <w:rsid w:val="00495EFF"/>
    <w:rsid w:val="00496EEA"/>
    <w:rsid w:val="004A24F5"/>
    <w:rsid w:val="004A46F1"/>
    <w:rsid w:val="004A7B41"/>
    <w:rsid w:val="004B1C7E"/>
    <w:rsid w:val="004B2224"/>
    <w:rsid w:val="004B4DAE"/>
    <w:rsid w:val="004B66DC"/>
    <w:rsid w:val="004C04DA"/>
    <w:rsid w:val="004C2055"/>
    <w:rsid w:val="004C29FC"/>
    <w:rsid w:val="004C3423"/>
    <w:rsid w:val="004C4757"/>
    <w:rsid w:val="004D0D5A"/>
    <w:rsid w:val="004D22F2"/>
    <w:rsid w:val="004D3148"/>
    <w:rsid w:val="004D3B71"/>
    <w:rsid w:val="004D3E91"/>
    <w:rsid w:val="004D4137"/>
    <w:rsid w:val="004D43CD"/>
    <w:rsid w:val="004D67B9"/>
    <w:rsid w:val="004D7F72"/>
    <w:rsid w:val="004E0FF6"/>
    <w:rsid w:val="004E14CC"/>
    <w:rsid w:val="004E2DE3"/>
    <w:rsid w:val="004E7959"/>
    <w:rsid w:val="004F0D41"/>
    <w:rsid w:val="004F1263"/>
    <w:rsid w:val="004F5238"/>
    <w:rsid w:val="004F57EB"/>
    <w:rsid w:val="004F63B6"/>
    <w:rsid w:val="00500C3B"/>
    <w:rsid w:val="00501A59"/>
    <w:rsid w:val="0050273A"/>
    <w:rsid w:val="00505451"/>
    <w:rsid w:val="00506060"/>
    <w:rsid w:val="005065D2"/>
    <w:rsid w:val="00506942"/>
    <w:rsid w:val="00507088"/>
    <w:rsid w:val="00507B35"/>
    <w:rsid w:val="00507C89"/>
    <w:rsid w:val="00507C9D"/>
    <w:rsid w:val="00511566"/>
    <w:rsid w:val="0051231E"/>
    <w:rsid w:val="005123AB"/>
    <w:rsid w:val="00512DCB"/>
    <w:rsid w:val="00512E22"/>
    <w:rsid w:val="00512E28"/>
    <w:rsid w:val="005172C4"/>
    <w:rsid w:val="0051767F"/>
    <w:rsid w:val="00517B50"/>
    <w:rsid w:val="00520799"/>
    <w:rsid w:val="00520DED"/>
    <w:rsid w:val="00521998"/>
    <w:rsid w:val="0052240D"/>
    <w:rsid w:val="00523A05"/>
    <w:rsid w:val="00530216"/>
    <w:rsid w:val="00530EA2"/>
    <w:rsid w:val="005335BE"/>
    <w:rsid w:val="00537CE7"/>
    <w:rsid w:val="00537E69"/>
    <w:rsid w:val="005411DB"/>
    <w:rsid w:val="0054430A"/>
    <w:rsid w:val="00544850"/>
    <w:rsid w:val="00545201"/>
    <w:rsid w:val="00545C76"/>
    <w:rsid w:val="005467C3"/>
    <w:rsid w:val="005529A1"/>
    <w:rsid w:val="00553291"/>
    <w:rsid w:val="00553EF8"/>
    <w:rsid w:val="00555A51"/>
    <w:rsid w:val="005608AE"/>
    <w:rsid w:val="00563B5D"/>
    <w:rsid w:val="00564A74"/>
    <w:rsid w:val="00565460"/>
    <w:rsid w:val="005661B4"/>
    <w:rsid w:val="00566AF4"/>
    <w:rsid w:val="005676D6"/>
    <w:rsid w:val="00571483"/>
    <w:rsid w:val="0057250E"/>
    <w:rsid w:val="00574579"/>
    <w:rsid w:val="00574F34"/>
    <w:rsid w:val="00575069"/>
    <w:rsid w:val="00575642"/>
    <w:rsid w:val="00577277"/>
    <w:rsid w:val="00580D0E"/>
    <w:rsid w:val="00580D35"/>
    <w:rsid w:val="00581BF0"/>
    <w:rsid w:val="00583E2C"/>
    <w:rsid w:val="0058405F"/>
    <w:rsid w:val="0058551F"/>
    <w:rsid w:val="00586B4B"/>
    <w:rsid w:val="00586C6B"/>
    <w:rsid w:val="0058747C"/>
    <w:rsid w:val="00590105"/>
    <w:rsid w:val="00591BD6"/>
    <w:rsid w:val="00593926"/>
    <w:rsid w:val="00595160"/>
    <w:rsid w:val="005969EF"/>
    <w:rsid w:val="005A066D"/>
    <w:rsid w:val="005A0A1A"/>
    <w:rsid w:val="005A175C"/>
    <w:rsid w:val="005A1DB4"/>
    <w:rsid w:val="005A2674"/>
    <w:rsid w:val="005A3E40"/>
    <w:rsid w:val="005A47E0"/>
    <w:rsid w:val="005A551C"/>
    <w:rsid w:val="005A592C"/>
    <w:rsid w:val="005B07C3"/>
    <w:rsid w:val="005B2171"/>
    <w:rsid w:val="005B261A"/>
    <w:rsid w:val="005B3787"/>
    <w:rsid w:val="005B45DF"/>
    <w:rsid w:val="005B463E"/>
    <w:rsid w:val="005B6756"/>
    <w:rsid w:val="005B6AFB"/>
    <w:rsid w:val="005B7585"/>
    <w:rsid w:val="005C46A6"/>
    <w:rsid w:val="005C4DBD"/>
    <w:rsid w:val="005C5F5A"/>
    <w:rsid w:val="005C7357"/>
    <w:rsid w:val="005D0227"/>
    <w:rsid w:val="005D0682"/>
    <w:rsid w:val="005D232A"/>
    <w:rsid w:val="005D239D"/>
    <w:rsid w:val="005D33AB"/>
    <w:rsid w:val="005D4B13"/>
    <w:rsid w:val="005D5655"/>
    <w:rsid w:val="005E0E4C"/>
    <w:rsid w:val="005E42F1"/>
    <w:rsid w:val="005E455E"/>
    <w:rsid w:val="005E61F4"/>
    <w:rsid w:val="005E7BCD"/>
    <w:rsid w:val="005F080A"/>
    <w:rsid w:val="005F0C13"/>
    <w:rsid w:val="005F114D"/>
    <w:rsid w:val="005F1D43"/>
    <w:rsid w:val="005F218D"/>
    <w:rsid w:val="005F297E"/>
    <w:rsid w:val="005F2D3A"/>
    <w:rsid w:val="005F2F63"/>
    <w:rsid w:val="005F4078"/>
    <w:rsid w:val="006006BC"/>
    <w:rsid w:val="00601058"/>
    <w:rsid w:val="00603D74"/>
    <w:rsid w:val="00605E35"/>
    <w:rsid w:val="00606438"/>
    <w:rsid w:val="00606915"/>
    <w:rsid w:val="00612D7B"/>
    <w:rsid w:val="00614486"/>
    <w:rsid w:val="0061680A"/>
    <w:rsid w:val="00616B5D"/>
    <w:rsid w:val="006174D4"/>
    <w:rsid w:val="00621109"/>
    <w:rsid w:val="00621D9A"/>
    <w:rsid w:val="00624228"/>
    <w:rsid w:val="006249AA"/>
    <w:rsid w:val="006253C7"/>
    <w:rsid w:val="00630011"/>
    <w:rsid w:val="00630151"/>
    <w:rsid w:val="00630215"/>
    <w:rsid w:val="00631EAC"/>
    <w:rsid w:val="0063200F"/>
    <w:rsid w:val="006321AC"/>
    <w:rsid w:val="00632E70"/>
    <w:rsid w:val="0063730C"/>
    <w:rsid w:val="00641AFC"/>
    <w:rsid w:val="00642F54"/>
    <w:rsid w:val="00643611"/>
    <w:rsid w:val="00643883"/>
    <w:rsid w:val="00643F9F"/>
    <w:rsid w:val="00644368"/>
    <w:rsid w:val="00644884"/>
    <w:rsid w:val="00645E54"/>
    <w:rsid w:val="00646906"/>
    <w:rsid w:val="00651EC6"/>
    <w:rsid w:val="00652556"/>
    <w:rsid w:val="0065310C"/>
    <w:rsid w:val="00653E20"/>
    <w:rsid w:val="006555E6"/>
    <w:rsid w:val="00655A09"/>
    <w:rsid w:val="00655A3C"/>
    <w:rsid w:val="00656F5D"/>
    <w:rsid w:val="00660012"/>
    <w:rsid w:val="006623C7"/>
    <w:rsid w:val="00662644"/>
    <w:rsid w:val="006662CE"/>
    <w:rsid w:val="0066754D"/>
    <w:rsid w:val="00670296"/>
    <w:rsid w:val="0067072D"/>
    <w:rsid w:val="0067273B"/>
    <w:rsid w:val="0067687B"/>
    <w:rsid w:val="00677E2B"/>
    <w:rsid w:val="0068011D"/>
    <w:rsid w:val="0068017C"/>
    <w:rsid w:val="006801FD"/>
    <w:rsid w:val="00680926"/>
    <w:rsid w:val="00683116"/>
    <w:rsid w:val="00684412"/>
    <w:rsid w:val="00684CC0"/>
    <w:rsid w:val="00685750"/>
    <w:rsid w:val="0068610F"/>
    <w:rsid w:val="00686AD7"/>
    <w:rsid w:val="00690B16"/>
    <w:rsid w:val="0069339C"/>
    <w:rsid w:val="00695A1F"/>
    <w:rsid w:val="00696EE4"/>
    <w:rsid w:val="006976F2"/>
    <w:rsid w:val="006A0858"/>
    <w:rsid w:val="006A09A5"/>
    <w:rsid w:val="006A09EF"/>
    <w:rsid w:val="006A1A70"/>
    <w:rsid w:val="006A490F"/>
    <w:rsid w:val="006A6934"/>
    <w:rsid w:val="006B1FB8"/>
    <w:rsid w:val="006B2E30"/>
    <w:rsid w:val="006B30A3"/>
    <w:rsid w:val="006B320F"/>
    <w:rsid w:val="006B3EF0"/>
    <w:rsid w:val="006B47E1"/>
    <w:rsid w:val="006B492F"/>
    <w:rsid w:val="006B5CEA"/>
    <w:rsid w:val="006B6E06"/>
    <w:rsid w:val="006B7F0F"/>
    <w:rsid w:val="006C0DF2"/>
    <w:rsid w:val="006C1AC0"/>
    <w:rsid w:val="006C1C17"/>
    <w:rsid w:val="006C1CA2"/>
    <w:rsid w:val="006C3319"/>
    <w:rsid w:val="006C343D"/>
    <w:rsid w:val="006D0760"/>
    <w:rsid w:val="006D113D"/>
    <w:rsid w:val="006D18D5"/>
    <w:rsid w:val="006D298F"/>
    <w:rsid w:val="006D2A8E"/>
    <w:rsid w:val="006D6AD4"/>
    <w:rsid w:val="006D71F4"/>
    <w:rsid w:val="006D73EB"/>
    <w:rsid w:val="006E0A6B"/>
    <w:rsid w:val="006E0DCC"/>
    <w:rsid w:val="006E21FA"/>
    <w:rsid w:val="006E29DF"/>
    <w:rsid w:val="006E2CA9"/>
    <w:rsid w:val="006E3F76"/>
    <w:rsid w:val="006E5E70"/>
    <w:rsid w:val="006E6127"/>
    <w:rsid w:val="006E76C1"/>
    <w:rsid w:val="006F174F"/>
    <w:rsid w:val="006F1847"/>
    <w:rsid w:val="006F2305"/>
    <w:rsid w:val="006F2309"/>
    <w:rsid w:val="006F23C2"/>
    <w:rsid w:val="006F297C"/>
    <w:rsid w:val="006F4DD8"/>
    <w:rsid w:val="006F4FED"/>
    <w:rsid w:val="006F55AC"/>
    <w:rsid w:val="006F5F78"/>
    <w:rsid w:val="00700DA2"/>
    <w:rsid w:val="00700EDA"/>
    <w:rsid w:val="0070187C"/>
    <w:rsid w:val="00701B7A"/>
    <w:rsid w:val="00702887"/>
    <w:rsid w:val="007100C9"/>
    <w:rsid w:val="007102D5"/>
    <w:rsid w:val="00713799"/>
    <w:rsid w:val="007143FF"/>
    <w:rsid w:val="00715814"/>
    <w:rsid w:val="00715CC8"/>
    <w:rsid w:val="007162A3"/>
    <w:rsid w:val="007220A1"/>
    <w:rsid w:val="007232ED"/>
    <w:rsid w:val="00723465"/>
    <w:rsid w:val="00723BE4"/>
    <w:rsid w:val="00724216"/>
    <w:rsid w:val="00724F71"/>
    <w:rsid w:val="00724FC4"/>
    <w:rsid w:val="0072594E"/>
    <w:rsid w:val="007266F2"/>
    <w:rsid w:val="00726A15"/>
    <w:rsid w:val="0072700C"/>
    <w:rsid w:val="007332F6"/>
    <w:rsid w:val="00734110"/>
    <w:rsid w:val="00734D15"/>
    <w:rsid w:val="00734F6A"/>
    <w:rsid w:val="00735AED"/>
    <w:rsid w:val="00736603"/>
    <w:rsid w:val="00742211"/>
    <w:rsid w:val="007427F2"/>
    <w:rsid w:val="00742C1F"/>
    <w:rsid w:val="00743A87"/>
    <w:rsid w:val="00744976"/>
    <w:rsid w:val="00744ACC"/>
    <w:rsid w:val="00744C07"/>
    <w:rsid w:val="00744CED"/>
    <w:rsid w:val="00747337"/>
    <w:rsid w:val="00752469"/>
    <w:rsid w:val="00757725"/>
    <w:rsid w:val="007579FE"/>
    <w:rsid w:val="00760718"/>
    <w:rsid w:val="00760F0A"/>
    <w:rsid w:val="00760F9F"/>
    <w:rsid w:val="007617B6"/>
    <w:rsid w:val="00761BD0"/>
    <w:rsid w:val="00761C1F"/>
    <w:rsid w:val="00763915"/>
    <w:rsid w:val="00763D7A"/>
    <w:rsid w:val="00763FB3"/>
    <w:rsid w:val="007655D8"/>
    <w:rsid w:val="00765684"/>
    <w:rsid w:val="00770C3D"/>
    <w:rsid w:val="00770DA0"/>
    <w:rsid w:val="0077225A"/>
    <w:rsid w:val="007737D7"/>
    <w:rsid w:val="0077444B"/>
    <w:rsid w:val="00774764"/>
    <w:rsid w:val="007755C6"/>
    <w:rsid w:val="00780D02"/>
    <w:rsid w:val="00780EE6"/>
    <w:rsid w:val="007814B0"/>
    <w:rsid w:val="00790D87"/>
    <w:rsid w:val="00791A29"/>
    <w:rsid w:val="00792394"/>
    <w:rsid w:val="0079325F"/>
    <w:rsid w:val="007932AE"/>
    <w:rsid w:val="00793836"/>
    <w:rsid w:val="00794720"/>
    <w:rsid w:val="0079495D"/>
    <w:rsid w:val="00794A46"/>
    <w:rsid w:val="0079551C"/>
    <w:rsid w:val="00795C51"/>
    <w:rsid w:val="00796A6D"/>
    <w:rsid w:val="007972A9"/>
    <w:rsid w:val="007A1198"/>
    <w:rsid w:val="007A12C8"/>
    <w:rsid w:val="007A1308"/>
    <w:rsid w:val="007A374C"/>
    <w:rsid w:val="007A5DDA"/>
    <w:rsid w:val="007A6A69"/>
    <w:rsid w:val="007B044D"/>
    <w:rsid w:val="007B28CA"/>
    <w:rsid w:val="007B50FC"/>
    <w:rsid w:val="007B53B3"/>
    <w:rsid w:val="007B6E54"/>
    <w:rsid w:val="007C1407"/>
    <w:rsid w:val="007C2F2E"/>
    <w:rsid w:val="007C40FF"/>
    <w:rsid w:val="007C424B"/>
    <w:rsid w:val="007C5DAC"/>
    <w:rsid w:val="007C668B"/>
    <w:rsid w:val="007C7AB8"/>
    <w:rsid w:val="007D47F3"/>
    <w:rsid w:val="007E32DA"/>
    <w:rsid w:val="007E61B2"/>
    <w:rsid w:val="007E67AD"/>
    <w:rsid w:val="007E793D"/>
    <w:rsid w:val="007F25E4"/>
    <w:rsid w:val="007F2EEE"/>
    <w:rsid w:val="00800B10"/>
    <w:rsid w:val="00804A94"/>
    <w:rsid w:val="00805092"/>
    <w:rsid w:val="00805757"/>
    <w:rsid w:val="00806253"/>
    <w:rsid w:val="0080776D"/>
    <w:rsid w:val="00810ED6"/>
    <w:rsid w:val="00811928"/>
    <w:rsid w:val="00812BF2"/>
    <w:rsid w:val="00812E4C"/>
    <w:rsid w:val="008135FE"/>
    <w:rsid w:val="008143F0"/>
    <w:rsid w:val="00814C62"/>
    <w:rsid w:val="0081612C"/>
    <w:rsid w:val="00817EF7"/>
    <w:rsid w:val="008211D1"/>
    <w:rsid w:val="0082383B"/>
    <w:rsid w:val="00826320"/>
    <w:rsid w:val="008266DC"/>
    <w:rsid w:val="00826F67"/>
    <w:rsid w:val="0082709A"/>
    <w:rsid w:val="008270F3"/>
    <w:rsid w:val="00827321"/>
    <w:rsid w:val="00830FB0"/>
    <w:rsid w:val="008311EA"/>
    <w:rsid w:val="0083330D"/>
    <w:rsid w:val="00834EA1"/>
    <w:rsid w:val="00836E35"/>
    <w:rsid w:val="008378E3"/>
    <w:rsid w:val="008404F9"/>
    <w:rsid w:val="00841756"/>
    <w:rsid w:val="00841F81"/>
    <w:rsid w:val="008420B3"/>
    <w:rsid w:val="008424F1"/>
    <w:rsid w:val="00842C21"/>
    <w:rsid w:val="008448F8"/>
    <w:rsid w:val="008459B7"/>
    <w:rsid w:val="008459F0"/>
    <w:rsid w:val="00846179"/>
    <w:rsid w:val="008468BC"/>
    <w:rsid w:val="00846F15"/>
    <w:rsid w:val="00847FFE"/>
    <w:rsid w:val="008517F4"/>
    <w:rsid w:val="008521FC"/>
    <w:rsid w:val="00852287"/>
    <w:rsid w:val="00853CA6"/>
    <w:rsid w:val="0085490A"/>
    <w:rsid w:val="00857808"/>
    <w:rsid w:val="00860752"/>
    <w:rsid w:val="00860F31"/>
    <w:rsid w:val="00862432"/>
    <w:rsid w:val="008636FD"/>
    <w:rsid w:val="00865A90"/>
    <w:rsid w:val="00866EB7"/>
    <w:rsid w:val="008679D0"/>
    <w:rsid w:val="00867E74"/>
    <w:rsid w:val="00870FDD"/>
    <w:rsid w:val="00871F69"/>
    <w:rsid w:val="00872227"/>
    <w:rsid w:val="00872C3D"/>
    <w:rsid w:val="00874590"/>
    <w:rsid w:val="0087574F"/>
    <w:rsid w:val="00875804"/>
    <w:rsid w:val="00877BE6"/>
    <w:rsid w:val="00877FF2"/>
    <w:rsid w:val="008805A1"/>
    <w:rsid w:val="008817F1"/>
    <w:rsid w:val="00881AD2"/>
    <w:rsid w:val="00882AC0"/>
    <w:rsid w:val="00882E50"/>
    <w:rsid w:val="00883F7F"/>
    <w:rsid w:val="008858B0"/>
    <w:rsid w:val="00886F78"/>
    <w:rsid w:val="008879EB"/>
    <w:rsid w:val="00892B76"/>
    <w:rsid w:val="00893FAC"/>
    <w:rsid w:val="00894768"/>
    <w:rsid w:val="008A2289"/>
    <w:rsid w:val="008A2E23"/>
    <w:rsid w:val="008A37BB"/>
    <w:rsid w:val="008A442B"/>
    <w:rsid w:val="008A45F3"/>
    <w:rsid w:val="008A5322"/>
    <w:rsid w:val="008A5B70"/>
    <w:rsid w:val="008A5E61"/>
    <w:rsid w:val="008A6D91"/>
    <w:rsid w:val="008A753E"/>
    <w:rsid w:val="008B074D"/>
    <w:rsid w:val="008B0C29"/>
    <w:rsid w:val="008B3815"/>
    <w:rsid w:val="008B3DDA"/>
    <w:rsid w:val="008B55FD"/>
    <w:rsid w:val="008B5EAC"/>
    <w:rsid w:val="008B5F97"/>
    <w:rsid w:val="008B601D"/>
    <w:rsid w:val="008C0121"/>
    <w:rsid w:val="008C0C9C"/>
    <w:rsid w:val="008C122E"/>
    <w:rsid w:val="008C2211"/>
    <w:rsid w:val="008C2647"/>
    <w:rsid w:val="008C2ADD"/>
    <w:rsid w:val="008C438F"/>
    <w:rsid w:val="008C5593"/>
    <w:rsid w:val="008D0265"/>
    <w:rsid w:val="008D153F"/>
    <w:rsid w:val="008D1555"/>
    <w:rsid w:val="008D2D7F"/>
    <w:rsid w:val="008D443D"/>
    <w:rsid w:val="008D51E0"/>
    <w:rsid w:val="008D57E7"/>
    <w:rsid w:val="008D6945"/>
    <w:rsid w:val="008D7B88"/>
    <w:rsid w:val="008E04AD"/>
    <w:rsid w:val="008E290E"/>
    <w:rsid w:val="008E6C60"/>
    <w:rsid w:val="008E7C0D"/>
    <w:rsid w:val="008F1166"/>
    <w:rsid w:val="008F2CCF"/>
    <w:rsid w:val="008F6821"/>
    <w:rsid w:val="00900A4B"/>
    <w:rsid w:val="009017C3"/>
    <w:rsid w:val="0090396A"/>
    <w:rsid w:val="0090427B"/>
    <w:rsid w:val="0090583E"/>
    <w:rsid w:val="009060E7"/>
    <w:rsid w:val="00914256"/>
    <w:rsid w:val="0091431F"/>
    <w:rsid w:val="00915B19"/>
    <w:rsid w:val="00917CDB"/>
    <w:rsid w:val="00920665"/>
    <w:rsid w:val="00920B23"/>
    <w:rsid w:val="009250CF"/>
    <w:rsid w:val="00925150"/>
    <w:rsid w:val="00925738"/>
    <w:rsid w:val="0093101F"/>
    <w:rsid w:val="009342D3"/>
    <w:rsid w:val="00934FE7"/>
    <w:rsid w:val="0093543C"/>
    <w:rsid w:val="009359C1"/>
    <w:rsid w:val="009409A6"/>
    <w:rsid w:val="009419E3"/>
    <w:rsid w:val="009420E4"/>
    <w:rsid w:val="00943149"/>
    <w:rsid w:val="00943980"/>
    <w:rsid w:val="0094427E"/>
    <w:rsid w:val="00944F34"/>
    <w:rsid w:val="009472B9"/>
    <w:rsid w:val="009473F3"/>
    <w:rsid w:val="0094755A"/>
    <w:rsid w:val="00952BE0"/>
    <w:rsid w:val="0095495A"/>
    <w:rsid w:val="0095503F"/>
    <w:rsid w:val="00955E2A"/>
    <w:rsid w:val="00955E31"/>
    <w:rsid w:val="009602E3"/>
    <w:rsid w:val="0096047D"/>
    <w:rsid w:val="00960834"/>
    <w:rsid w:val="009609C5"/>
    <w:rsid w:val="009613A9"/>
    <w:rsid w:val="00961834"/>
    <w:rsid w:val="0096193E"/>
    <w:rsid w:val="009630F4"/>
    <w:rsid w:val="009634A6"/>
    <w:rsid w:val="009639A2"/>
    <w:rsid w:val="00963B73"/>
    <w:rsid w:val="009643B1"/>
    <w:rsid w:val="00964ADD"/>
    <w:rsid w:val="00964E60"/>
    <w:rsid w:val="00966385"/>
    <w:rsid w:val="009669BE"/>
    <w:rsid w:val="00966C96"/>
    <w:rsid w:val="0096739A"/>
    <w:rsid w:val="00967542"/>
    <w:rsid w:val="00967548"/>
    <w:rsid w:val="00971DE9"/>
    <w:rsid w:val="00971E9A"/>
    <w:rsid w:val="009744D9"/>
    <w:rsid w:val="009752EA"/>
    <w:rsid w:val="00976D78"/>
    <w:rsid w:val="00976F18"/>
    <w:rsid w:val="00977FE8"/>
    <w:rsid w:val="00982778"/>
    <w:rsid w:val="00983223"/>
    <w:rsid w:val="00983944"/>
    <w:rsid w:val="00986D99"/>
    <w:rsid w:val="00986F32"/>
    <w:rsid w:val="0099004F"/>
    <w:rsid w:val="00990B33"/>
    <w:rsid w:val="00994A4F"/>
    <w:rsid w:val="0099521C"/>
    <w:rsid w:val="0099737F"/>
    <w:rsid w:val="009973D4"/>
    <w:rsid w:val="00997DD9"/>
    <w:rsid w:val="009A2009"/>
    <w:rsid w:val="009A394B"/>
    <w:rsid w:val="009A52DD"/>
    <w:rsid w:val="009A5DE9"/>
    <w:rsid w:val="009A6F25"/>
    <w:rsid w:val="009B1B3C"/>
    <w:rsid w:val="009B25DA"/>
    <w:rsid w:val="009B2985"/>
    <w:rsid w:val="009B5C01"/>
    <w:rsid w:val="009B6D02"/>
    <w:rsid w:val="009C10A4"/>
    <w:rsid w:val="009C11D8"/>
    <w:rsid w:val="009C21A4"/>
    <w:rsid w:val="009C66CE"/>
    <w:rsid w:val="009D0FAB"/>
    <w:rsid w:val="009D2C71"/>
    <w:rsid w:val="009D2FB4"/>
    <w:rsid w:val="009D6403"/>
    <w:rsid w:val="009D7B75"/>
    <w:rsid w:val="009E049C"/>
    <w:rsid w:val="009E0B40"/>
    <w:rsid w:val="009E1A25"/>
    <w:rsid w:val="009E2459"/>
    <w:rsid w:val="009E2D70"/>
    <w:rsid w:val="009E3B15"/>
    <w:rsid w:val="009E5C0D"/>
    <w:rsid w:val="009F0B87"/>
    <w:rsid w:val="009F1048"/>
    <w:rsid w:val="009F285B"/>
    <w:rsid w:val="009F2EF7"/>
    <w:rsid w:val="009F46BF"/>
    <w:rsid w:val="009F544E"/>
    <w:rsid w:val="009F5F07"/>
    <w:rsid w:val="00A0053E"/>
    <w:rsid w:val="00A01CB2"/>
    <w:rsid w:val="00A0566A"/>
    <w:rsid w:val="00A06200"/>
    <w:rsid w:val="00A1047A"/>
    <w:rsid w:val="00A11328"/>
    <w:rsid w:val="00A11D9E"/>
    <w:rsid w:val="00A12032"/>
    <w:rsid w:val="00A120E7"/>
    <w:rsid w:val="00A14123"/>
    <w:rsid w:val="00A20125"/>
    <w:rsid w:val="00A20E41"/>
    <w:rsid w:val="00A23122"/>
    <w:rsid w:val="00A27439"/>
    <w:rsid w:val="00A275BC"/>
    <w:rsid w:val="00A30C36"/>
    <w:rsid w:val="00A31A7C"/>
    <w:rsid w:val="00A354B2"/>
    <w:rsid w:val="00A35FD0"/>
    <w:rsid w:val="00A362E4"/>
    <w:rsid w:val="00A36BD7"/>
    <w:rsid w:val="00A37412"/>
    <w:rsid w:val="00A375FD"/>
    <w:rsid w:val="00A4135E"/>
    <w:rsid w:val="00A41EE1"/>
    <w:rsid w:val="00A42E81"/>
    <w:rsid w:val="00A43D7D"/>
    <w:rsid w:val="00A448AF"/>
    <w:rsid w:val="00A45095"/>
    <w:rsid w:val="00A4568A"/>
    <w:rsid w:val="00A468B1"/>
    <w:rsid w:val="00A46E31"/>
    <w:rsid w:val="00A4754A"/>
    <w:rsid w:val="00A518ED"/>
    <w:rsid w:val="00A51C2B"/>
    <w:rsid w:val="00A51EDF"/>
    <w:rsid w:val="00A52D85"/>
    <w:rsid w:val="00A53FCB"/>
    <w:rsid w:val="00A55A8F"/>
    <w:rsid w:val="00A55DB2"/>
    <w:rsid w:val="00A6025E"/>
    <w:rsid w:val="00A60591"/>
    <w:rsid w:val="00A613E2"/>
    <w:rsid w:val="00A615AA"/>
    <w:rsid w:val="00A62176"/>
    <w:rsid w:val="00A63C0D"/>
    <w:rsid w:val="00A645E4"/>
    <w:rsid w:val="00A674C4"/>
    <w:rsid w:val="00A70298"/>
    <w:rsid w:val="00A74776"/>
    <w:rsid w:val="00A763C4"/>
    <w:rsid w:val="00A76560"/>
    <w:rsid w:val="00A869A7"/>
    <w:rsid w:val="00A8704B"/>
    <w:rsid w:val="00A911B3"/>
    <w:rsid w:val="00A92535"/>
    <w:rsid w:val="00A92BC4"/>
    <w:rsid w:val="00A92F81"/>
    <w:rsid w:val="00A947FF"/>
    <w:rsid w:val="00A94E60"/>
    <w:rsid w:val="00A95222"/>
    <w:rsid w:val="00A95EB5"/>
    <w:rsid w:val="00A96BD2"/>
    <w:rsid w:val="00AA057C"/>
    <w:rsid w:val="00AA24FB"/>
    <w:rsid w:val="00AA3EBE"/>
    <w:rsid w:val="00AA579D"/>
    <w:rsid w:val="00AA7228"/>
    <w:rsid w:val="00AA7D2E"/>
    <w:rsid w:val="00AA7E45"/>
    <w:rsid w:val="00AB0017"/>
    <w:rsid w:val="00AB244B"/>
    <w:rsid w:val="00AB32CB"/>
    <w:rsid w:val="00AC0077"/>
    <w:rsid w:val="00AC0C64"/>
    <w:rsid w:val="00AC100D"/>
    <w:rsid w:val="00AC1210"/>
    <w:rsid w:val="00AC1BE7"/>
    <w:rsid w:val="00AC561F"/>
    <w:rsid w:val="00AC6E2D"/>
    <w:rsid w:val="00AC74D4"/>
    <w:rsid w:val="00AD1551"/>
    <w:rsid w:val="00AD16C5"/>
    <w:rsid w:val="00AD4775"/>
    <w:rsid w:val="00AD48C0"/>
    <w:rsid w:val="00AD5E23"/>
    <w:rsid w:val="00AE057F"/>
    <w:rsid w:val="00AE0BEC"/>
    <w:rsid w:val="00AE1619"/>
    <w:rsid w:val="00AE1864"/>
    <w:rsid w:val="00AE22DE"/>
    <w:rsid w:val="00AE27DA"/>
    <w:rsid w:val="00AE4DEE"/>
    <w:rsid w:val="00AE50AB"/>
    <w:rsid w:val="00AE5FDB"/>
    <w:rsid w:val="00AE6703"/>
    <w:rsid w:val="00AE682D"/>
    <w:rsid w:val="00AE68C4"/>
    <w:rsid w:val="00AE7A9D"/>
    <w:rsid w:val="00AE7AB8"/>
    <w:rsid w:val="00AE7D07"/>
    <w:rsid w:val="00AF01E4"/>
    <w:rsid w:val="00AF0BB6"/>
    <w:rsid w:val="00AF1155"/>
    <w:rsid w:val="00AF17BF"/>
    <w:rsid w:val="00AF22CA"/>
    <w:rsid w:val="00AF3206"/>
    <w:rsid w:val="00AF367E"/>
    <w:rsid w:val="00AF410F"/>
    <w:rsid w:val="00AF5CD2"/>
    <w:rsid w:val="00AF6B4A"/>
    <w:rsid w:val="00AF6D38"/>
    <w:rsid w:val="00AF737E"/>
    <w:rsid w:val="00AF75E7"/>
    <w:rsid w:val="00B007B2"/>
    <w:rsid w:val="00B009F8"/>
    <w:rsid w:val="00B01894"/>
    <w:rsid w:val="00B03428"/>
    <w:rsid w:val="00B0438F"/>
    <w:rsid w:val="00B0603E"/>
    <w:rsid w:val="00B06290"/>
    <w:rsid w:val="00B06F08"/>
    <w:rsid w:val="00B07317"/>
    <w:rsid w:val="00B0794D"/>
    <w:rsid w:val="00B10287"/>
    <w:rsid w:val="00B11C71"/>
    <w:rsid w:val="00B11D10"/>
    <w:rsid w:val="00B14E04"/>
    <w:rsid w:val="00B15594"/>
    <w:rsid w:val="00B161E6"/>
    <w:rsid w:val="00B16253"/>
    <w:rsid w:val="00B206EA"/>
    <w:rsid w:val="00B2146B"/>
    <w:rsid w:val="00B23C33"/>
    <w:rsid w:val="00B259FD"/>
    <w:rsid w:val="00B25D31"/>
    <w:rsid w:val="00B2739A"/>
    <w:rsid w:val="00B30A6D"/>
    <w:rsid w:val="00B30E36"/>
    <w:rsid w:val="00B316E9"/>
    <w:rsid w:val="00B323B6"/>
    <w:rsid w:val="00B3350C"/>
    <w:rsid w:val="00B370A3"/>
    <w:rsid w:val="00B41CCB"/>
    <w:rsid w:val="00B4293E"/>
    <w:rsid w:val="00B42C48"/>
    <w:rsid w:val="00B42E92"/>
    <w:rsid w:val="00B43E4D"/>
    <w:rsid w:val="00B46F92"/>
    <w:rsid w:val="00B50A78"/>
    <w:rsid w:val="00B54F17"/>
    <w:rsid w:val="00B57576"/>
    <w:rsid w:val="00B6272F"/>
    <w:rsid w:val="00B62F99"/>
    <w:rsid w:val="00B63A2E"/>
    <w:rsid w:val="00B6420D"/>
    <w:rsid w:val="00B647CA"/>
    <w:rsid w:val="00B6547D"/>
    <w:rsid w:val="00B65817"/>
    <w:rsid w:val="00B665BC"/>
    <w:rsid w:val="00B70971"/>
    <w:rsid w:val="00B71D1C"/>
    <w:rsid w:val="00B733C7"/>
    <w:rsid w:val="00B7447E"/>
    <w:rsid w:val="00B7795C"/>
    <w:rsid w:val="00B77CA9"/>
    <w:rsid w:val="00B8116C"/>
    <w:rsid w:val="00B8286D"/>
    <w:rsid w:val="00B83A60"/>
    <w:rsid w:val="00B847D2"/>
    <w:rsid w:val="00B85AEA"/>
    <w:rsid w:val="00B86006"/>
    <w:rsid w:val="00B862E3"/>
    <w:rsid w:val="00B90818"/>
    <w:rsid w:val="00B90FFC"/>
    <w:rsid w:val="00B91623"/>
    <w:rsid w:val="00B9163A"/>
    <w:rsid w:val="00B97B7C"/>
    <w:rsid w:val="00B97DB1"/>
    <w:rsid w:val="00BA11E8"/>
    <w:rsid w:val="00BB00CA"/>
    <w:rsid w:val="00BB6973"/>
    <w:rsid w:val="00BB7CB2"/>
    <w:rsid w:val="00BC2147"/>
    <w:rsid w:val="00BC2215"/>
    <w:rsid w:val="00BC34DD"/>
    <w:rsid w:val="00BC3A12"/>
    <w:rsid w:val="00BC62BA"/>
    <w:rsid w:val="00BC6B1B"/>
    <w:rsid w:val="00BC7710"/>
    <w:rsid w:val="00BD0D1F"/>
    <w:rsid w:val="00BD114E"/>
    <w:rsid w:val="00BD1ABB"/>
    <w:rsid w:val="00BD227D"/>
    <w:rsid w:val="00BD2467"/>
    <w:rsid w:val="00BD2C08"/>
    <w:rsid w:val="00BD2D79"/>
    <w:rsid w:val="00BD38E9"/>
    <w:rsid w:val="00BD3F80"/>
    <w:rsid w:val="00BD4A7B"/>
    <w:rsid w:val="00BD54AF"/>
    <w:rsid w:val="00BD7DB9"/>
    <w:rsid w:val="00BE0F98"/>
    <w:rsid w:val="00BE13BD"/>
    <w:rsid w:val="00BE578C"/>
    <w:rsid w:val="00BE5B98"/>
    <w:rsid w:val="00BE6A07"/>
    <w:rsid w:val="00BE6FD0"/>
    <w:rsid w:val="00BF1226"/>
    <w:rsid w:val="00BF43CC"/>
    <w:rsid w:val="00BF47E1"/>
    <w:rsid w:val="00BF4D8D"/>
    <w:rsid w:val="00C00786"/>
    <w:rsid w:val="00C01BA6"/>
    <w:rsid w:val="00C03DB9"/>
    <w:rsid w:val="00C046BC"/>
    <w:rsid w:val="00C0556D"/>
    <w:rsid w:val="00C05704"/>
    <w:rsid w:val="00C06D48"/>
    <w:rsid w:val="00C076B0"/>
    <w:rsid w:val="00C11737"/>
    <w:rsid w:val="00C12E59"/>
    <w:rsid w:val="00C133F7"/>
    <w:rsid w:val="00C14032"/>
    <w:rsid w:val="00C174E4"/>
    <w:rsid w:val="00C17A28"/>
    <w:rsid w:val="00C20410"/>
    <w:rsid w:val="00C22A52"/>
    <w:rsid w:val="00C23BE0"/>
    <w:rsid w:val="00C25919"/>
    <w:rsid w:val="00C272D5"/>
    <w:rsid w:val="00C33998"/>
    <w:rsid w:val="00C33BEB"/>
    <w:rsid w:val="00C348D0"/>
    <w:rsid w:val="00C36C77"/>
    <w:rsid w:val="00C425FF"/>
    <w:rsid w:val="00C42717"/>
    <w:rsid w:val="00C42792"/>
    <w:rsid w:val="00C4404E"/>
    <w:rsid w:val="00C524C7"/>
    <w:rsid w:val="00C536A0"/>
    <w:rsid w:val="00C54C0D"/>
    <w:rsid w:val="00C57CF7"/>
    <w:rsid w:val="00C60F97"/>
    <w:rsid w:val="00C6218F"/>
    <w:rsid w:val="00C628B0"/>
    <w:rsid w:val="00C62DF7"/>
    <w:rsid w:val="00C630B5"/>
    <w:rsid w:val="00C640D6"/>
    <w:rsid w:val="00C648D6"/>
    <w:rsid w:val="00C64DF8"/>
    <w:rsid w:val="00C65A40"/>
    <w:rsid w:val="00C669F6"/>
    <w:rsid w:val="00C67852"/>
    <w:rsid w:val="00C715FC"/>
    <w:rsid w:val="00C71FE1"/>
    <w:rsid w:val="00C72890"/>
    <w:rsid w:val="00C728A7"/>
    <w:rsid w:val="00C72BAB"/>
    <w:rsid w:val="00C740E4"/>
    <w:rsid w:val="00C8407F"/>
    <w:rsid w:val="00C847F4"/>
    <w:rsid w:val="00C85AC2"/>
    <w:rsid w:val="00C862F7"/>
    <w:rsid w:val="00C90888"/>
    <w:rsid w:val="00C91931"/>
    <w:rsid w:val="00C938BF"/>
    <w:rsid w:val="00C9480E"/>
    <w:rsid w:val="00C94FB9"/>
    <w:rsid w:val="00C956AF"/>
    <w:rsid w:val="00C97A18"/>
    <w:rsid w:val="00CA2F52"/>
    <w:rsid w:val="00CA3652"/>
    <w:rsid w:val="00CA40E3"/>
    <w:rsid w:val="00CA4DAF"/>
    <w:rsid w:val="00CA4F04"/>
    <w:rsid w:val="00CA650E"/>
    <w:rsid w:val="00CB015B"/>
    <w:rsid w:val="00CB0629"/>
    <w:rsid w:val="00CB07F1"/>
    <w:rsid w:val="00CB275C"/>
    <w:rsid w:val="00CB39FA"/>
    <w:rsid w:val="00CB41A4"/>
    <w:rsid w:val="00CB6766"/>
    <w:rsid w:val="00CB6BDB"/>
    <w:rsid w:val="00CB7782"/>
    <w:rsid w:val="00CC0464"/>
    <w:rsid w:val="00CC05F5"/>
    <w:rsid w:val="00CC143E"/>
    <w:rsid w:val="00CC209E"/>
    <w:rsid w:val="00CC35C6"/>
    <w:rsid w:val="00CC3791"/>
    <w:rsid w:val="00CC489C"/>
    <w:rsid w:val="00CC5A38"/>
    <w:rsid w:val="00CC5C07"/>
    <w:rsid w:val="00CC7001"/>
    <w:rsid w:val="00CD2110"/>
    <w:rsid w:val="00CD3D56"/>
    <w:rsid w:val="00CD45B5"/>
    <w:rsid w:val="00CD571D"/>
    <w:rsid w:val="00CD64DC"/>
    <w:rsid w:val="00CE0734"/>
    <w:rsid w:val="00CE09D9"/>
    <w:rsid w:val="00CE48B1"/>
    <w:rsid w:val="00CE498C"/>
    <w:rsid w:val="00CE58AF"/>
    <w:rsid w:val="00CE5CC4"/>
    <w:rsid w:val="00CE5DCD"/>
    <w:rsid w:val="00CE720F"/>
    <w:rsid w:val="00CE7AD1"/>
    <w:rsid w:val="00CF0106"/>
    <w:rsid w:val="00CF136E"/>
    <w:rsid w:val="00CF310B"/>
    <w:rsid w:val="00CF38C5"/>
    <w:rsid w:val="00CF497D"/>
    <w:rsid w:val="00CF4CD3"/>
    <w:rsid w:val="00CF562C"/>
    <w:rsid w:val="00CF6A1A"/>
    <w:rsid w:val="00D009B3"/>
    <w:rsid w:val="00D00D7B"/>
    <w:rsid w:val="00D0195D"/>
    <w:rsid w:val="00D07034"/>
    <w:rsid w:val="00D103ED"/>
    <w:rsid w:val="00D10435"/>
    <w:rsid w:val="00D12D83"/>
    <w:rsid w:val="00D153B2"/>
    <w:rsid w:val="00D1546F"/>
    <w:rsid w:val="00D164B9"/>
    <w:rsid w:val="00D169FE"/>
    <w:rsid w:val="00D17059"/>
    <w:rsid w:val="00D17132"/>
    <w:rsid w:val="00D20A45"/>
    <w:rsid w:val="00D21D28"/>
    <w:rsid w:val="00D22A5B"/>
    <w:rsid w:val="00D2514F"/>
    <w:rsid w:val="00D255FF"/>
    <w:rsid w:val="00D2638C"/>
    <w:rsid w:val="00D27754"/>
    <w:rsid w:val="00D31628"/>
    <w:rsid w:val="00D33459"/>
    <w:rsid w:val="00D33BCD"/>
    <w:rsid w:val="00D34907"/>
    <w:rsid w:val="00D35342"/>
    <w:rsid w:val="00D376B5"/>
    <w:rsid w:val="00D415B0"/>
    <w:rsid w:val="00D420EE"/>
    <w:rsid w:val="00D433C9"/>
    <w:rsid w:val="00D43F64"/>
    <w:rsid w:val="00D44140"/>
    <w:rsid w:val="00D45EB9"/>
    <w:rsid w:val="00D47D84"/>
    <w:rsid w:val="00D51C1F"/>
    <w:rsid w:val="00D5228F"/>
    <w:rsid w:val="00D5407C"/>
    <w:rsid w:val="00D541DD"/>
    <w:rsid w:val="00D54E33"/>
    <w:rsid w:val="00D6035C"/>
    <w:rsid w:val="00D60D03"/>
    <w:rsid w:val="00D61907"/>
    <w:rsid w:val="00D62A87"/>
    <w:rsid w:val="00D62E30"/>
    <w:rsid w:val="00D649E3"/>
    <w:rsid w:val="00D66143"/>
    <w:rsid w:val="00D705CE"/>
    <w:rsid w:val="00D7061B"/>
    <w:rsid w:val="00D70B78"/>
    <w:rsid w:val="00D70FAE"/>
    <w:rsid w:val="00D72C6B"/>
    <w:rsid w:val="00D7312B"/>
    <w:rsid w:val="00D745CB"/>
    <w:rsid w:val="00D74F03"/>
    <w:rsid w:val="00D806E3"/>
    <w:rsid w:val="00D82874"/>
    <w:rsid w:val="00D839A5"/>
    <w:rsid w:val="00D83FEA"/>
    <w:rsid w:val="00D85884"/>
    <w:rsid w:val="00D85CDE"/>
    <w:rsid w:val="00D91730"/>
    <w:rsid w:val="00D9180B"/>
    <w:rsid w:val="00D965FF"/>
    <w:rsid w:val="00D97557"/>
    <w:rsid w:val="00DA053F"/>
    <w:rsid w:val="00DA1226"/>
    <w:rsid w:val="00DA142D"/>
    <w:rsid w:val="00DA2319"/>
    <w:rsid w:val="00DA2CD8"/>
    <w:rsid w:val="00DA2D54"/>
    <w:rsid w:val="00DA2D8B"/>
    <w:rsid w:val="00DA308F"/>
    <w:rsid w:val="00DA333F"/>
    <w:rsid w:val="00DA53B8"/>
    <w:rsid w:val="00DA5FA0"/>
    <w:rsid w:val="00DA71FF"/>
    <w:rsid w:val="00DB14D1"/>
    <w:rsid w:val="00DB1A57"/>
    <w:rsid w:val="00DB2FD5"/>
    <w:rsid w:val="00DB4D38"/>
    <w:rsid w:val="00DB6357"/>
    <w:rsid w:val="00DB6BAD"/>
    <w:rsid w:val="00DB6F99"/>
    <w:rsid w:val="00DC010A"/>
    <w:rsid w:val="00DC14E1"/>
    <w:rsid w:val="00DC297F"/>
    <w:rsid w:val="00DC3D73"/>
    <w:rsid w:val="00DC4394"/>
    <w:rsid w:val="00DC4A3F"/>
    <w:rsid w:val="00DC51C7"/>
    <w:rsid w:val="00DC71A6"/>
    <w:rsid w:val="00DD0B1C"/>
    <w:rsid w:val="00DD11DB"/>
    <w:rsid w:val="00DD18C8"/>
    <w:rsid w:val="00DD36D6"/>
    <w:rsid w:val="00DD4F96"/>
    <w:rsid w:val="00DD65F6"/>
    <w:rsid w:val="00DE0533"/>
    <w:rsid w:val="00DE05A4"/>
    <w:rsid w:val="00DE562F"/>
    <w:rsid w:val="00DF1BDE"/>
    <w:rsid w:val="00DF2299"/>
    <w:rsid w:val="00DF24E0"/>
    <w:rsid w:val="00DF4EBF"/>
    <w:rsid w:val="00DF5616"/>
    <w:rsid w:val="00DF57D4"/>
    <w:rsid w:val="00E01C4A"/>
    <w:rsid w:val="00E03363"/>
    <w:rsid w:val="00E04B09"/>
    <w:rsid w:val="00E056A0"/>
    <w:rsid w:val="00E060A4"/>
    <w:rsid w:val="00E06577"/>
    <w:rsid w:val="00E06719"/>
    <w:rsid w:val="00E06A1F"/>
    <w:rsid w:val="00E06D74"/>
    <w:rsid w:val="00E109D1"/>
    <w:rsid w:val="00E11173"/>
    <w:rsid w:val="00E1177E"/>
    <w:rsid w:val="00E1372A"/>
    <w:rsid w:val="00E14E6F"/>
    <w:rsid w:val="00E1699B"/>
    <w:rsid w:val="00E16A49"/>
    <w:rsid w:val="00E17A17"/>
    <w:rsid w:val="00E202BA"/>
    <w:rsid w:val="00E23886"/>
    <w:rsid w:val="00E24CF3"/>
    <w:rsid w:val="00E257C8"/>
    <w:rsid w:val="00E2602E"/>
    <w:rsid w:val="00E31A65"/>
    <w:rsid w:val="00E332FE"/>
    <w:rsid w:val="00E337A2"/>
    <w:rsid w:val="00E34A18"/>
    <w:rsid w:val="00E36DCB"/>
    <w:rsid w:val="00E377FA"/>
    <w:rsid w:val="00E410D4"/>
    <w:rsid w:val="00E41197"/>
    <w:rsid w:val="00E4236E"/>
    <w:rsid w:val="00E46F9A"/>
    <w:rsid w:val="00E47ABA"/>
    <w:rsid w:val="00E50D4E"/>
    <w:rsid w:val="00E53BF5"/>
    <w:rsid w:val="00E607BF"/>
    <w:rsid w:val="00E61A1B"/>
    <w:rsid w:val="00E62D1A"/>
    <w:rsid w:val="00E62FF0"/>
    <w:rsid w:val="00E633B2"/>
    <w:rsid w:val="00E6420F"/>
    <w:rsid w:val="00E65014"/>
    <w:rsid w:val="00E661AD"/>
    <w:rsid w:val="00E6624F"/>
    <w:rsid w:val="00E66A19"/>
    <w:rsid w:val="00E66E2D"/>
    <w:rsid w:val="00E67813"/>
    <w:rsid w:val="00E67B47"/>
    <w:rsid w:val="00E70261"/>
    <w:rsid w:val="00E71413"/>
    <w:rsid w:val="00E71B4C"/>
    <w:rsid w:val="00E71F6D"/>
    <w:rsid w:val="00E73A78"/>
    <w:rsid w:val="00E73E04"/>
    <w:rsid w:val="00E74760"/>
    <w:rsid w:val="00E767B5"/>
    <w:rsid w:val="00E76B46"/>
    <w:rsid w:val="00E77722"/>
    <w:rsid w:val="00E821D1"/>
    <w:rsid w:val="00E842FD"/>
    <w:rsid w:val="00E84BA8"/>
    <w:rsid w:val="00E8671B"/>
    <w:rsid w:val="00E91109"/>
    <w:rsid w:val="00E91272"/>
    <w:rsid w:val="00E912B2"/>
    <w:rsid w:val="00E91777"/>
    <w:rsid w:val="00E921FF"/>
    <w:rsid w:val="00E923F3"/>
    <w:rsid w:val="00E92A1B"/>
    <w:rsid w:val="00E93658"/>
    <w:rsid w:val="00E94741"/>
    <w:rsid w:val="00E94EFB"/>
    <w:rsid w:val="00E96E1F"/>
    <w:rsid w:val="00EA1027"/>
    <w:rsid w:val="00EA2F85"/>
    <w:rsid w:val="00EA34FE"/>
    <w:rsid w:val="00EA5814"/>
    <w:rsid w:val="00EA607A"/>
    <w:rsid w:val="00EA6945"/>
    <w:rsid w:val="00EA7BE5"/>
    <w:rsid w:val="00EB09B2"/>
    <w:rsid w:val="00EB366A"/>
    <w:rsid w:val="00EB3953"/>
    <w:rsid w:val="00EB7664"/>
    <w:rsid w:val="00EB7840"/>
    <w:rsid w:val="00EB7A91"/>
    <w:rsid w:val="00EC1DD7"/>
    <w:rsid w:val="00EC299B"/>
    <w:rsid w:val="00EC29E8"/>
    <w:rsid w:val="00EC3095"/>
    <w:rsid w:val="00EC4E50"/>
    <w:rsid w:val="00EC63CC"/>
    <w:rsid w:val="00EC6470"/>
    <w:rsid w:val="00EC7147"/>
    <w:rsid w:val="00EC7BD0"/>
    <w:rsid w:val="00ED0362"/>
    <w:rsid w:val="00ED03A5"/>
    <w:rsid w:val="00ED2474"/>
    <w:rsid w:val="00ED3954"/>
    <w:rsid w:val="00ED4ED5"/>
    <w:rsid w:val="00ED67FB"/>
    <w:rsid w:val="00EE0EDA"/>
    <w:rsid w:val="00EE140C"/>
    <w:rsid w:val="00EE1AE9"/>
    <w:rsid w:val="00EE2EE0"/>
    <w:rsid w:val="00EE6167"/>
    <w:rsid w:val="00EF0127"/>
    <w:rsid w:val="00EF2AB6"/>
    <w:rsid w:val="00EF2C35"/>
    <w:rsid w:val="00EF41F6"/>
    <w:rsid w:val="00F0002A"/>
    <w:rsid w:val="00F00EE9"/>
    <w:rsid w:val="00F026F5"/>
    <w:rsid w:val="00F02875"/>
    <w:rsid w:val="00F0529C"/>
    <w:rsid w:val="00F057C1"/>
    <w:rsid w:val="00F067CB"/>
    <w:rsid w:val="00F10BFC"/>
    <w:rsid w:val="00F139F4"/>
    <w:rsid w:val="00F13AB7"/>
    <w:rsid w:val="00F17DA7"/>
    <w:rsid w:val="00F214E1"/>
    <w:rsid w:val="00F21A0A"/>
    <w:rsid w:val="00F21B07"/>
    <w:rsid w:val="00F22144"/>
    <w:rsid w:val="00F22CC3"/>
    <w:rsid w:val="00F23297"/>
    <w:rsid w:val="00F24C1D"/>
    <w:rsid w:val="00F25BB3"/>
    <w:rsid w:val="00F31526"/>
    <w:rsid w:val="00F31ED5"/>
    <w:rsid w:val="00F34408"/>
    <w:rsid w:val="00F35BDC"/>
    <w:rsid w:val="00F36F51"/>
    <w:rsid w:val="00F41180"/>
    <w:rsid w:val="00F42E0A"/>
    <w:rsid w:val="00F43120"/>
    <w:rsid w:val="00F46533"/>
    <w:rsid w:val="00F4792C"/>
    <w:rsid w:val="00F47CA4"/>
    <w:rsid w:val="00F50849"/>
    <w:rsid w:val="00F508D1"/>
    <w:rsid w:val="00F512DF"/>
    <w:rsid w:val="00F51932"/>
    <w:rsid w:val="00F52754"/>
    <w:rsid w:val="00F52AF1"/>
    <w:rsid w:val="00F52BD9"/>
    <w:rsid w:val="00F56442"/>
    <w:rsid w:val="00F5671E"/>
    <w:rsid w:val="00F5755F"/>
    <w:rsid w:val="00F57F9D"/>
    <w:rsid w:val="00F61207"/>
    <w:rsid w:val="00F617DD"/>
    <w:rsid w:val="00F632FF"/>
    <w:rsid w:val="00F65105"/>
    <w:rsid w:val="00F65E71"/>
    <w:rsid w:val="00F70D99"/>
    <w:rsid w:val="00F72A16"/>
    <w:rsid w:val="00F7465A"/>
    <w:rsid w:val="00F771DD"/>
    <w:rsid w:val="00F81EE5"/>
    <w:rsid w:val="00F83CBC"/>
    <w:rsid w:val="00F84A0C"/>
    <w:rsid w:val="00F84A24"/>
    <w:rsid w:val="00F850DB"/>
    <w:rsid w:val="00F85C79"/>
    <w:rsid w:val="00F87A1B"/>
    <w:rsid w:val="00F91072"/>
    <w:rsid w:val="00F945A0"/>
    <w:rsid w:val="00FA36FA"/>
    <w:rsid w:val="00FA558F"/>
    <w:rsid w:val="00FA5741"/>
    <w:rsid w:val="00FA5ABD"/>
    <w:rsid w:val="00FA6FAA"/>
    <w:rsid w:val="00FB1DC5"/>
    <w:rsid w:val="00FB1E8A"/>
    <w:rsid w:val="00FB29ED"/>
    <w:rsid w:val="00FB2BEE"/>
    <w:rsid w:val="00FB2C15"/>
    <w:rsid w:val="00FB46EA"/>
    <w:rsid w:val="00FB524B"/>
    <w:rsid w:val="00FB5EE4"/>
    <w:rsid w:val="00FC401B"/>
    <w:rsid w:val="00FC44B5"/>
    <w:rsid w:val="00FC4648"/>
    <w:rsid w:val="00FC5174"/>
    <w:rsid w:val="00FD168E"/>
    <w:rsid w:val="00FD2355"/>
    <w:rsid w:val="00FD26A7"/>
    <w:rsid w:val="00FD5240"/>
    <w:rsid w:val="00FD5786"/>
    <w:rsid w:val="00FD6209"/>
    <w:rsid w:val="00FE19CF"/>
    <w:rsid w:val="00FE19F0"/>
    <w:rsid w:val="00FE3F97"/>
    <w:rsid w:val="00FF029A"/>
    <w:rsid w:val="00FF10CC"/>
    <w:rsid w:val="00FF1BB8"/>
    <w:rsid w:val="00FF2670"/>
    <w:rsid w:val="00FF27D2"/>
    <w:rsid w:val="00FF283A"/>
    <w:rsid w:val="00FF3784"/>
    <w:rsid w:val="00FF3CAA"/>
    <w:rsid w:val="00FF49B9"/>
    <w:rsid w:val="00FF59CC"/>
    <w:rsid w:val="00FF5E36"/>
    <w:rsid w:val="0836763F"/>
    <w:rsid w:val="0A962F74"/>
    <w:rsid w:val="0CE35BBA"/>
    <w:rsid w:val="0FDD199B"/>
    <w:rsid w:val="105B6114"/>
    <w:rsid w:val="12F81903"/>
    <w:rsid w:val="13BE2242"/>
    <w:rsid w:val="14BA4D71"/>
    <w:rsid w:val="171259CE"/>
    <w:rsid w:val="190224C3"/>
    <w:rsid w:val="1CF5746D"/>
    <w:rsid w:val="216E1AB4"/>
    <w:rsid w:val="230044D8"/>
    <w:rsid w:val="24FF0FB2"/>
    <w:rsid w:val="2A6352F7"/>
    <w:rsid w:val="2AD56F10"/>
    <w:rsid w:val="2D1021F4"/>
    <w:rsid w:val="2D2233B0"/>
    <w:rsid w:val="311F0499"/>
    <w:rsid w:val="314F4B33"/>
    <w:rsid w:val="35077730"/>
    <w:rsid w:val="377977F1"/>
    <w:rsid w:val="3934620B"/>
    <w:rsid w:val="3D483469"/>
    <w:rsid w:val="3EAF3F64"/>
    <w:rsid w:val="41D334B9"/>
    <w:rsid w:val="436818EC"/>
    <w:rsid w:val="438943E3"/>
    <w:rsid w:val="43B2652B"/>
    <w:rsid w:val="43BF4744"/>
    <w:rsid w:val="499A7211"/>
    <w:rsid w:val="4B4873BD"/>
    <w:rsid w:val="5053736A"/>
    <w:rsid w:val="52C931A5"/>
    <w:rsid w:val="5C2134BE"/>
    <w:rsid w:val="5CE36A78"/>
    <w:rsid w:val="61B56926"/>
    <w:rsid w:val="66001E4D"/>
    <w:rsid w:val="6697761D"/>
    <w:rsid w:val="688F2B33"/>
    <w:rsid w:val="698C7691"/>
    <w:rsid w:val="6DE07563"/>
    <w:rsid w:val="6E0155B8"/>
    <w:rsid w:val="6F61066A"/>
    <w:rsid w:val="741162A8"/>
    <w:rsid w:val="763525C9"/>
    <w:rsid w:val="76857B3A"/>
    <w:rsid w:val="77A96B2F"/>
    <w:rsid w:val="7C1458AD"/>
    <w:rsid w:val="7C2903EF"/>
    <w:rsid w:val="7EF02A1D"/>
    <w:rsid w:val="7F1A4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9"/>
    <w:qFormat/>
    <w:uiPriority w:val="0"/>
    <w:pPr>
      <w:keepNext/>
      <w:widowControl/>
      <w:numPr>
        <w:ilvl w:val="0"/>
        <w:numId w:val="1"/>
      </w:numPr>
      <w:jc w:val="center"/>
      <w:outlineLvl w:val="0"/>
    </w:pPr>
    <w:rPr>
      <w:rFonts w:ascii="黑体" w:eastAsia="黑体"/>
      <w:kern w:val="0"/>
      <w:sz w:val="52"/>
      <w:szCs w:val="20"/>
    </w:rPr>
  </w:style>
  <w:style w:type="paragraph" w:styleId="3">
    <w:name w:val="heading 2"/>
    <w:basedOn w:val="1"/>
    <w:next w:val="4"/>
    <w:link w:val="58"/>
    <w:qFormat/>
    <w:uiPriority w:val="0"/>
    <w:pPr>
      <w:keepNext/>
      <w:keepLines/>
      <w:widowControl/>
      <w:spacing w:before="260" w:after="260" w:line="415" w:lineRule="auto"/>
      <w:jc w:val="center"/>
      <w:outlineLvl w:val="1"/>
    </w:pPr>
    <w:rPr>
      <w:rFonts w:ascii="Arial" w:hAnsi="Arial" w:eastAsia="黑体"/>
      <w:b/>
      <w:kern w:val="0"/>
      <w:sz w:val="36"/>
      <w:szCs w:val="20"/>
    </w:rPr>
  </w:style>
  <w:style w:type="paragraph" w:styleId="5">
    <w:name w:val="heading 3"/>
    <w:basedOn w:val="1"/>
    <w:next w:val="4"/>
    <w:link w:val="142"/>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6">
    <w:name w:val="heading 4"/>
    <w:basedOn w:val="1"/>
    <w:next w:val="1"/>
    <w:link w:val="132"/>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1"/>
    <w:link w:val="94"/>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8">
    <w:name w:val="heading 6"/>
    <w:basedOn w:val="1"/>
    <w:next w:val="1"/>
    <w:link w:val="101"/>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rPr>
  </w:style>
  <w:style w:type="paragraph" w:styleId="9">
    <w:name w:val="heading 7"/>
    <w:basedOn w:val="1"/>
    <w:next w:val="1"/>
    <w:link w:val="145"/>
    <w:qFormat/>
    <w:uiPriority w:val="0"/>
    <w:pPr>
      <w:keepNext/>
      <w:keepLines/>
      <w:widowControl/>
      <w:numPr>
        <w:ilvl w:val="6"/>
        <w:numId w:val="1"/>
      </w:numPr>
      <w:spacing w:before="240" w:after="64" w:line="320" w:lineRule="auto"/>
      <w:jc w:val="left"/>
      <w:outlineLvl w:val="6"/>
    </w:pPr>
    <w:rPr>
      <w:b/>
      <w:bCs/>
      <w:kern w:val="0"/>
      <w:sz w:val="24"/>
    </w:rPr>
  </w:style>
  <w:style w:type="paragraph" w:styleId="10">
    <w:name w:val="heading 8"/>
    <w:basedOn w:val="1"/>
    <w:next w:val="1"/>
    <w:link w:val="151"/>
    <w:qFormat/>
    <w:uiPriority w:val="0"/>
    <w:pPr>
      <w:keepNext/>
      <w:keepLines/>
      <w:widowControl/>
      <w:numPr>
        <w:ilvl w:val="7"/>
        <w:numId w:val="1"/>
      </w:numPr>
      <w:spacing w:before="240" w:after="64" w:line="320" w:lineRule="auto"/>
      <w:jc w:val="left"/>
      <w:outlineLvl w:val="7"/>
    </w:pPr>
    <w:rPr>
      <w:rFonts w:ascii="Arial" w:hAnsi="Arial" w:eastAsia="黑体"/>
      <w:kern w:val="0"/>
      <w:sz w:val="24"/>
    </w:rPr>
  </w:style>
  <w:style w:type="paragraph" w:styleId="11">
    <w:name w:val="heading 9"/>
    <w:basedOn w:val="1"/>
    <w:next w:val="1"/>
    <w:link w:val="65"/>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ind w:firstLine="420" w:firstLineChars="200"/>
    </w:pPr>
  </w:style>
  <w:style w:type="paragraph" w:styleId="12">
    <w:name w:val="toc 7"/>
    <w:basedOn w:val="1"/>
    <w:next w:val="1"/>
    <w:qFormat/>
    <w:uiPriority w:val="0"/>
    <w:pPr>
      <w:ind w:left="1050"/>
      <w:jc w:val="left"/>
    </w:pPr>
    <w:rPr>
      <w:rFonts w:ascii="Calibri" w:hAnsi="Calibri" w:cs="Calibri"/>
      <w:sz w:val="20"/>
      <w:szCs w:val="20"/>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111"/>
    <w:qFormat/>
    <w:uiPriority w:val="0"/>
    <w:pPr>
      <w:shd w:val="clear" w:color="auto" w:fill="000080"/>
    </w:pPr>
  </w:style>
  <w:style w:type="paragraph" w:styleId="15">
    <w:name w:val="annotation text"/>
    <w:basedOn w:val="1"/>
    <w:link w:val="69"/>
    <w:qFormat/>
    <w:uiPriority w:val="0"/>
    <w:pPr>
      <w:adjustRightInd w:val="0"/>
      <w:spacing w:line="360" w:lineRule="atLeast"/>
      <w:jc w:val="left"/>
      <w:textAlignment w:val="baseline"/>
    </w:pPr>
    <w:rPr>
      <w:kern w:val="0"/>
      <w:sz w:val="24"/>
      <w:szCs w:val="20"/>
    </w:rPr>
  </w:style>
  <w:style w:type="paragraph" w:styleId="16">
    <w:name w:val="Salutation"/>
    <w:basedOn w:val="1"/>
    <w:next w:val="1"/>
    <w:link w:val="146"/>
    <w:qFormat/>
    <w:uiPriority w:val="0"/>
    <w:rPr>
      <w:rFonts w:ascii="仿宋_GB2312" w:eastAsia="仿宋_GB2312"/>
      <w:sz w:val="28"/>
      <w:szCs w:val="20"/>
    </w:rPr>
  </w:style>
  <w:style w:type="paragraph" w:styleId="17">
    <w:name w:val="Body Text 3"/>
    <w:basedOn w:val="1"/>
    <w:qFormat/>
    <w:uiPriority w:val="0"/>
    <w:pPr>
      <w:spacing w:after="120"/>
    </w:pPr>
    <w:rPr>
      <w:sz w:val="16"/>
      <w:szCs w:val="16"/>
    </w:rPr>
  </w:style>
  <w:style w:type="paragraph" w:styleId="18">
    <w:name w:val="Body Text"/>
    <w:basedOn w:val="1"/>
    <w:link w:val="68"/>
    <w:qFormat/>
    <w:uiPriority w:val="0"/>
    <w:pPr>
      <w:spacing w:after="120"/>
    </w:pPr>
  </w:style>
  <w:style w:type="paragraph" w:styleId="19">
    <w:name w:val="Body Text Indent"/>
    <w:basedOn w:val="1"/>
    <w:link w:val="122"/>
    <w:qFormat/>
    <w:uiPriority w:val="0"/>
    <w:pPr>
      <w:spacing w:after="120"/>
      <w:ind w:left="420" w:leftChars="200"/>
    </w:pPr>
  </w:style>
  <w:style w:type="paragraph" w:styleId="20">
    <w:name w:val="List 2"/>
    <w:basedOn w:val="1"/>
    <w:qFormat/>
    <w:uiPriority w:val="0"/>
    <w:pPr>
      <w:ind w:left="100" w:leftChars="200" w:hanging="200" w:hangingChars="200"/>
    </w:pPr>
  </w:style>
  <w:style w:type="paragraph" w:styleId="21">
    <w:name w:val="List Continue"/>
    <w:basedOn w:val="1"/>
    <w:qFormat/>
    <w:uiPriority w:val="0"/>
    <w:pPr>
      <w:spacing w:after="120"/>
      <w:ind w:left="420" w:leftChars="200"/>
    </w:pPr>
  </w:style>
  <w:style w:type="paragraph" w:styleId="22">
    <w:name w:val="Block Text"/>
    <w:basedOn w:val="1"/>
    <w:qFormat/>
    <w:uiPriority w:val="0"/>
    <w:pPr>
      <w:spacing w:line="480" w:lineRule="exact"/>
      <w:ind w:left="228" w:leftChars="228" w:right="32"/>
    </w:pPr>
    <w:rPr>
      <w:sz w:val="24"/>
    </w:rPr>
  </w:style>
  <w:style w:type="paragraph" w:styleId="23">
    <w:name w:val="index 4"/>
    <w:basedOn w:val="1"/>
    <w:next w:val="1"/>
    <w:qFormat/>
    <w:uiPriority w:val="0"/>
    <w:pPr>
      <w:ind w:left="600" w:leftChars="600"/>
    </w:pPr>
  </w:style>
  <w:style w:type="paragraph" w:styleId="24">
    <w:name w:val="toc 5"/>
    <w:basedOn w:val="1"/>
    <w:next w:val="1"/>
    <w:qFormat/>
    <w:uiPriority w:val="0"/>
    <w:pPr>
      <w:ind w:left="630"/>
      <w:jc w:val="left"/>
    </w:pPr>
    <w:rPr>
      <w:rFonts w:ascii="Calibri" w:hAnsi="Calibri" w:cs="Calibri"/>
      <w:sz w:val="20"/>
      <w:szCs w:val="20"/>
    </w:rPr>
  </w:style>
  <w:style w:type="paragraph" w:styleId="25">
    <w:name w:val="toc 3"/>
    <w:basedOn w:val="1"/>
    <w:next w:val="1"/>
    <w:qFormat/>
    <w:uiPriority w:val="39"/>
    <w:pPr>
      <w:ind w:left="210"/>
      <w:jc w:val="left"/>
    </w:pPr>
    <w:rPr>
      <w:rFonts w:ascii="Calibri" w:hAnsi="Calibri" w:cs="Calibri"/>
      <w:sz w:val="20"/>
      <w:szCs w:val="20"/>
    </w:rPr>
  </w:style>
  <w:style w:type="paragraph" w:styleId="26">
    <w:name w:val="Plain Text"/>
    <w:basedOn w:val="1"/>
    <w:link w:val="157"/>
    <w:qFormat/>
    <w:uiPriority w:val="0"/>
    <w:rPr>
      <w:rFonts w:ascii="宋体" w:hAnsi="Courier New" w:cs="Courier New"/>
      <w:szCs w:val="21"/>
    </w:rPr>
  </w:style>
  <w:style w:type="paragraph" w:styleId="27">
    <w:name w:val="toc 8"/>
    <w:basedOn w:val="1"/>
    <w:next w:val="1"/>
    <w:qFormat/>
    <w:uiPriority w:val="0"/>
    <w:pPr>
      <w:ind w:left="1260"/>
      <w:jc w:val="left"/>
    </w:pPr>
    <w:rPr>
      <w:rFonts w:ascii="Calibri" w:hAnsi="Calibri" w:cs="Calibri"/>
      <w:sz w:val="20"/>
      <w:szCs w:val="20"/>
    </w:rPr>
  </w:style>
  <w:style w:type="paragraph" w:styleId="28">
    <w:name w:val="Date"/>
    <w:basedOn w:val="1"/>
    <w:next w:val="1"/>
    <w:link w:val="143"/>
    <w:qFormat/>
    <w:uiPriority w:val="0"/>
    <w:rPr>
      <w:sz w:val="24"/>
      <w:szCs w:val="20"/>
    </w:rPr>
  </w:style>
  <w:style w:type="paragraph" w:styleId="29">
    <w:name w:val="Body Text Indent 2"/>
    <w:basedOn w:val="1"/>
    <w:qFormat/>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30">
    <w:name w:val="Balloon Text"/>
    <w:basedOn w:val="1"/>
    <w:link w:val="99"/>
    <w:qFormat/>
    <w:uiPriority w:val="0"/>
    <w:rPr>
      <w:rFonts w:ascii="仿宋_GB2312" w:eastAsia="仿宋_GB2312"/>
      <w:sz w:val="18"/>
      <w:szCs w:val="18"/>
    </w:rPr>
  </w:style>
  <w:style w:type="paragraph" w:styleId="31">
    <w:name w:val="footer"/>
    <w:basedOn w:val="1"/>
    <w:link w:val="74"/>
    <w:qFormat/>
    <w:uiPriority w:val="99"/>
    <w:pPr>
      <w:tabs>
        <w:tab w:val="center" w:pos="4153"/>
        <w:tab w:val="right" w:pos="8306"/>
      </w:tabs>
      <w:snapToGrid w:val="0"/>
      <w:jc w:val="left"/>
    </w:pPr>
    <w:rPr>
      <w:sz w:val="18"/>
      <w:szCs w:val="18"/>
    </w:rPr>
  </w:style>
  <w:style w:type="paragraph" w:styleId="32">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360"/>
      <w:jc w:val="left"/>
    </w:pPr>
    <w:rPr>
      <w:rFonts w:ascii="Cambria" w:hAnsi="Cambria"/>
      <w:b/>
      <w:bCs/>
      <w:caps/>
      <w:sz w:val="24"/>
    </w:rPr>
  </w:style>
  <w:style w:type="paragraph" w:styleId="34">
    <w:name w:val="toc 4"/>
    <w:basedOn w:val="1"/>
    <w:next w:val="1"/>
    <w:qFormat/>
    <w:uiPriority w:val="0"/>
    <w:pPr>
      <w:ind w:left="420"/>
      <w:jc w:val="left"/>
    </w:pPr>
    <w:rPr>
      <w:rFonts w:ascii="Calibri" w:hAnsi="Calibri" w:cs="Calibri"/>
      <w:sz w:val="20"/>
      <w:szCs w:val="20"/>
    </w:rPr>
  </w:style>
  <w:style w:type="paragraph" w:styleId="35">
    <w:name w:val="index heading"/>
    <w:basedOn w:val="1"/>
    <w:next w:val="36"/>
    <w:qFormat/>
    <w:uiPriority w:val="0"/>
  </w:style>
  <w:style w:type="paragraph" w:styleId="36">
    <w:name w:val="index 1"/>
    <w:basedOn w:val="1"/>
    <w:next w:val="1"/>
    <w:qFormat/>
    <w:uiPriority w:val="0"/>
    <w:rPr>
      <w:rFonts w:ascii="宋体" w:hAnsi="宋体"/>
      <w:b/>
      <w:bCs/>
    </w:rPr>
  </w:style>
  <w:style w:type="paragraph" w:styleId="37">
    <w:name w:val="Subtitle"/>
    <w:basedOn w:val="1"/>
    <w:link w:val="134"/>
    <w:qFormat/>
    <w:uiPriority w:val="0"/>
    <w:pPr>
      <w:spacing w:before="240" w:after="60" w:line="312" w:lineRule="auto"/>
      <w:jc w:val="center"/>
      <w:outlineLvl w:val="1"/>
    </w:pPr>
    <w:rPr>
      <w:rFonts w:ascii="Arial" w:hAnsi="Arial" w:eastAsia="仿宋_GB2312"/>
      <w:b/>
      <w:bCs/>
      <w:kern w:val="28"/>
      <w:sz w:val="32"/>
      <w:szCs w:val="32"/>
    </w:rPr>
  </w:style>
  <w:style w:type="paragraph" w:styleId="38">
    <w:name w:val="List"/>
    <w:basedOn w:val="1"/>
    <w:qFormat/>
    <w:uiPriority w:val="0"/>
    <w:pPr>
      <w:ind w:left="200" w:hanging="200" w:hangingChars="200"/>
    </w:pPr>
  </w:style>
  <w:style w:type="paragraph" w:styleId="39">
    <w:name w:val="footnote text"/>
    <w:basedOn w:val="1"/>
    <w:link w:val="139"/>
    <w:qFormat/>
    <w:uiPriority w:val="0"/>
    <w:pPr>
      <w:snapToGrid w:val="0"/>
      <w:jc w:val="left"/>
    </w:pPr>
    <w:rPr>
      <w:sz w:val="18"/>
      <w:szCs w:val="18"/>
    </w:rPr>
  </w:style>
  <w:style w:type="paragraph" w:styleId="40">
    <w:name w:val="toc 6"/>
    <w:basedOn w:val="1"/>
    <w:next w:val="1"/>
    <w:qFormat/>
    <w:uiPriority w:val="0"/>
    <w:pPr>
      <w:ind w:left="840"/>
      <w:jc w:val="left"/>
    </w:pPr>
    <w:rPr>
      <w:rFonts w:ascii="Calibri" w:hAnsi="Calibri" w:cs="Calibri"/>
      <w:sz w:val="20"/>
      <w:szCs w:val="20"/>
    </w:rPr>
  </w:style>
  <w:style w:type="paragraph" w:styleId="41">
    <w:name w:val="Body Text Indent 3"/>
    <w:basedOn w:val="1"/>
    <w:qFormat/>
    <w:uiPriority w:val="0"/>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42">
    <w:name w:val="toc 2"/>
    <w:basedOn w:val="1"/>
    <w:next w:val="1"/>
    <w:qFormat/>
    <w:uiPriority w:val="39"/>
    <w:pPr>
      <w:spacing w:before="240"/>
      <w:jc w:val="left"/>
    </w:pPr>
    <w:rPr>
      <w:rFonts w:ascii="Calibri" w:hAnsi="Calibri" w:cs="Calibri"/>
      <w:b/>
      <w:bCs/>
      <w:sz w:val="20"/>
      <w:szCs w:val="20"/>
    </w:rPr>
  </w:style>
  <w:style w:type="paragraph" w:styleId="43">
    <w:name w:val="toc 9"/>
    <w:basedOn w:val="1"/>
    <w:next w:val="1"/>
    <w:qFormat/>
    <w:uiPriority w:val="0"/>
    <w:pPr>
      <w:ind w:left="1470"/>
      <w:jc w:val="left"/>
    </w:pPr>
    <w:rPr>
      <w:rFonts w:ascii="Calibri" w:hAnsi="Calibri" w:cs="Calibri"/>
      <w:sz w:val="20"/>
      <w:szCs w:val="20"/>
    </w:rPr>
  </w:style>
  <w:style w:type="paragraph" w:styleId="44">
    <w:name w:val="Body Text 2"/>
    <w:basedOn w:val="1"/>
    <w:link w:val="156"/>
    <w:qFormat/>
    <w:uiPriority w:val="0"/>
    <w:pPr>
      <w:spacing w:after="120" w:line="480" w:lineRule="auto"/>
    </w:pPr>
  </w:style>
  <w:style w:type="paragraph" w:styleId="45">
    <w:name w:val="Normal (Web)"/>
    <w:basedOn w:val="1"/>
    <w:qFormat/>
    <w:uiPriority w:val="99"/>
    <w:rPr>
      <w:sz w:val="24"/>
    </w:rPr>
  </w:style>
  <w:style w:type="paragraph" w:styleId="46">
    <w:name w:val="Title"/>
    <w:basedOn w:val="1"/>
    <w:link w:val="63"/>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7">
    <w:name w:val="annotation subject"/>
    <w:basedOn w:val="15"/>
    <w:next w:val="15"/>
    <w:link w:val="140"/>
    <w:qFormat/>
    <w:uiPriority w:val="0"/>
    <w:pPr>
      <w:adjustRightInd/>
      <w:spacing w:line="240" w:lineRule="auto"/>
      <w:textAlignment w:val="auto"/>
    </w:pPr>
    <w:rPr>
      <w:b/>
      <w:bCs/>
      <w:kern w:val="2"/>
      <w:sz w:val="21"/>
      <w:szCs w:val="24"/>
    </w:rPr>
  </w:style>
  <w:style w:type="table" w:styleId="49">
    <w:name w:val="Table Grid"/>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uiPriority w:val="0"/>
  </w:style>
  <w:style w:type="character" w:styleId="53">
    <w:name w:val="FollowedHyperlink"/>
    <w:uiPriority w:val="0"/>
    <w:rPr>
      <w:color w:val="800080"/>
      <w:u w:val="single"/>
    </w:rPr>
  </w:style>
  <w:style w:type="character" w:styleId="54">
    <w:name w:val="Emphasis"/>
    <w:qFormat/>
    <w:uiPriority w:val="0"/>
    <w:rPr>
      <w:i/>
      <w:iCs/>
    </w:rPr>
  </w:style>
  <w:style w:type="character" w:styleId="55">
    <w:name w:val="Hyperlink"/>
    <w:uiPriority w:val="99"/>
    <w:rPr>
      <w:color w:val="0000FF"/>
      <w:u w:val="single"/>
    </w:rPr>
  </w:style>
  <w:style w:type="character" w:styleId="56">
    <w:name w:val="annotation reference"/>
    <w:uiPriority w:val="0"/>
    <w:rPr>
      <w:sz w:val="21"/>
      <w:szCs w:val="21"/>
    </w:rPr>
  </w:style>
  <w:style w:type="character" w:styleId="57">
    <w:name w:val="footnote reference"/>
    <w:uiPriority w:val="0"/>
    <w:rPr>
      <w:vertAlign w:val="superscript"/>
    </w:rPr>
  </w:style>
  <w:style w:type="character" w:customStyle="1" w:styleId="58">
    <w:name w:val="标题 2 字符"/>
    <w:link w:val="3"/>
    <w:qFormat/>
    <w:uiPriority w:val="0"/>
    <w:rPr>
      <w:rFonts w:ascii="Arial" w:hAnsi="Arial" w:eastAsia="黑体"/>
      <w:b/>
      <w:sz w:val="36"/>
      <w:lang w:val="en-US" w:eastAsia="zh-CN" w:bidi="ar-SA"/>
    </w:rPr>
  </w:style>
  <w:style w:type="character" w:customStyle="1" w:styleId="59">
    <w:name w:val="Intense Reference"/>
    <w:qFormat/>
    <w:uiPriority w:val="0"/>
    <w:rPr>
      <w:b/>
      <w:bCs/>
      <w:smallCaps/>
      <w:color w:val="C0504D"/>
      <w:spacing w:val="5"/>
      <w:u w:val="single"/>
    </w:rPr>
  </w:style>
  <w:style w:type="character" w:customStyle="1" w:styleId="60">
    <w:name w:val="Char Char22"/>
    <w:uiPriority w:val="0"/>
    <w:rPr>
      <w:rFonts w:eastAsia="宋体"/>
      <w:b/>
      <w:bCs/>
      <w:kern w:val="1"/>
      <w:sz w:val="24"/>
      <w:szCs w:val="32"/>
      <w:lang w:val="en-US" w:eastAsia="ar-SA" w:bidi="ar-SA"/>
    </w:rPr>
  </w:style>
  <w:style w:type="character" w:customStyle="1" w:styleId="61">
    <w:name w:val="正文缩进 字符1"/>
    <w:link w:val="4"/>
    <w:uiPriority w:val="0"/>
    <w:rPr>
      <w:kern w:val="2"/>
      <w:sz w:val="21"/>
      <w:szCs w:val="24"/>
    </w:rPr>
  </w:style>
  <w:style w:type="character" w:customStyle="1" w:styleId="62">
    <w:name w:val="Blockquote Char"/>
    <w:uiPriority w:val="0"/>
    <w:rPr>
      <w:rFonts w:eastAsia="宋体"/>
      <w:sz w:val="24"/>
      <w:lang w:val="en-US" w:eastAsia="zh-CN" w:bidi="ar-SA"/>
    </w:rPr>
  </w:style>
  <w:style w:type="character" w:customStyle="1" w:styleId="63">
    <w:name w:val="标题 字符"/>
    <w:link w:val="46"/>
    <w:uiPriority w:val="0"/>
    <w:rPr>
      <w:rFonts w:ascii="Arial" w:hAnsi="Arial"/>
      <w:b/>
      <w:sz w:val="32"/>
    </w:rPr>
  </w:style>
  <w:style w:type="character" w:customStyle="1" w:styleId="64">
    <w:name w:val="副标题 Char1"/>
    <w:uiPriority w:val="0"/>
    <w:rPr>
      <w:rFonts w:ascii="Calibri Light" w:hAnsi="Calibri Light" w:cs="Times New Roman"/>
      <w:b/>
      <w:bCs/>
      <w:kern w:val="28"/>
      <w:sz w:val="32"/>
      <w:szCs w:val="32"/>
    </w:rPr>
  </w:style>
  <w:style w:type="character" w:customStyle="1" w:styleId="65">
    <w:name w:val="标题 9 字符"/>
    <w:link w:val="11"/>
    <w:uiPriority w:val="0"/>
    <w:rPr>
      <w:rFonts w:ascii="Arial" w:hAnsi="Arial" w:eastAsia="黑体"/>
      <w:sz w:val="21"/>
      <w:szCs w:val="21"/>
    </w:rPr>
  </w:style>
  <w:style w:type="character" w:customStyle="1" w:styleId="66">
    <w:name w:val="日期 Char1"/>
    <w:uiPriority w:val="0"/>
    <w:rPr>
      <w:kern w:val="2"/>
      <w:sz w:val="21"/>
      <w:szCs w:val="22"/>
    </w:rPr>
  </w:style>
  <w:style w:type="character" w:customStyle="1" w:styleId="67">
    <w:name w:val="WW8Num2z0"/>
    <w:uiPriority w:val="0"/>
    <w:rPr>
      <w:rFonts w:ascii="宋体" w:hAnsi="宋体" w:eastAsia="宋体" w:cs="Times New Roman"/>
    </w:rPr>
  </w:style>
  <w:style w:type="character" w:customStyle="1" w:styleId="68">
    <w:name w:val="正文文本 字符"/>
    <w:link w:val="18"/>
    <w:uiPriority w:val="0"/>
    <w:rPr>
      <w:rFonts w:eastAsia="宋体"/>
      <w:kern w:val="2"/>
      <w:sz w:val="21"/>
      <w:szCs w:val="24"/>
      <w:lang w:val="en-US" w:eastAsia="zh-CN" w:bidi="ar-SA"/>
    </w:rPr>
  </w:style>
  <w:style w:type="character" w:customStyle="1" w:styleId="69">
    <w:name w:val="批注文字 字符"/>
    <w:link w:val="15"/>
    <w:uiPriority w:val="0"/>
    <w:rPr>
      <w:rFonts w:eastAsia="宋体"/>
      <w:sz w:val="24"/>
      <w:lang w:val="en-US" w:eastAsia="zh-CN" w:bidi="ar-SA"/>
    </w:rPr>
  </w:style>
  <w:style w:type="character" w:customStyle="1" w:styleId="70">
    <w:name w:val="页码1"/>
    <w:basedOn w:val="50"/>
    <w:uiPriority w:val="0"/>
  </w:style>
  <w:style w:type="character" w:customStyle="1" w:styleId="71">
    <w:name w:val="文档结构图 Char1"/>
    <w:uiPriority w:val="0"/>
    <w:rPr>
      <w:rFonts w:ascii="宋体"/>
      <w:kern w:val="2"/>
      <w:sz w:val="18"/>
      <w:szCs w:val="18"/>
    </w:rPr>
  </w:style>
  <w:style w:type="character" w:customStyle="1" w:styleId="72">
    <w:name w:val="标书正文格式 Char"/>
    <w:link w:val="73"/>
    <w:uiPriority w:val="0"/>
    <w:rPr>
      <w:rFonts w:eastAsia="楷体_GB2312"/>
      <w:kern w:val="2"/>
      <w:sz w:val="24"/>
      <w:szCs w:val="24"/>
      <w:lang w:val="en-US" w:eastAsia="zh-CN" w:bidi="ar-SA"/>
    </w:rPr>
  </w:style>
  <w:style w:type="paragraph" w:customStyle="1" w:styleId="73">
    <w:name w:val="标书正文格式"/>
    <w:link w:val="72"/>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74">
    <w:name w:val="页脚 字符"/>
    <w:link w:val="31"/>
    <w:qFormat/>
    <w:uiPriority w:val="99"/>
    <w:rPr>
      <w:kern w:val="2"/>
      <w:sz w:val="18"/>
      <w:szCs w:val="18"/>
    </w:rPr>
  </w:style>
  <w:style w:type="character" w:customStyle="1" w:styleId="75">
    <w:name w:val="Char Char24"/>
    <w:uiPriority w:val="0"/>
    <w:rPr>
      <w:rFonts w:eastAsia="宋体"/>
      <w:b/>
      <w:bCs/>
      <w:kern w:val="44"/>
      <w:sz w:val="32"/>
      <w:szCs w:val="44"/>
      <w:lang w:val="en-US" w:eastAsia="ar-SA" w:bidi="ar-SA"/>
    </w:rPr>
  </w:style>
  <w:style w:type="character" w:customStyle="1" w:styleId="76">
    <w:name w:val="页眉 字符"/>
    <w:link w:val="32"/>
    <w:qFormat/>
    <w:uiPriority w:val="0"/>
    <w:rPr>
      <w:rFonts w:eastAsia="宋体"/>
      <w:kern w:val="2"/>
      <w:sz w:val="18"/>
      <w:szCs w:val="18"/>
      <w:lang w:val="en-US" w:eastAsia="zh-CN" w:bidi="ar-SA"/>
    </w:rPr>
  </w:style>
  <w:style w:type="character" w:customStyle="1" w:styleId="77">
    <w:name w:val="批注文字 Char2"/>
    <w:uiPriority w:val="0"/>
    <w:rPr>
      <w:rFonts w:ascii="Times New Roman" w:hAnsi="Times New Roman" w:eastAsia="宋体"/>
      <w:kern w:val="2"/>
      <w:sz w:val="21"/>
      <w:szCs w:val="24"/>
    </w:rPr>
  </w:style>
  <w:style w:type="character" w:customStyle="1" w:styleId="78">
    <w:name w:val="标题5 Char Char"/>
    <w:link w:val="79"/>
    <w:uiPriority w:val="0"/>
    <w:rPr>
      <w:rFonts w:ascii="Arial" w:hAnsi="Arial"/>
      <w:b/>
      <w:bCs/>
      <w:sz w:val="24"/>
      <w:szCs w:val="32"/>
    </w:rPr>
  </w:style>
  <w:style w:type="paragraph" w:customStyle="1" w:styleId="79">
    <w:name w:val="标题5"/>
    <w:basedOn w:val="5"/>
    <w:link w:val="78"/>
    <w:qFormat/>
    <w:uiPriority w:val="0"/>
    <w:pPr>
      <w:widowControl w:val="0"/>
      <w:numPr>
        <w:ilvl w:val="0"/>
        <w:numId w:val="0"/>
      </w:numPr>
      <w:tabs>
        <w:tab w:val="clear" w:pos="720"/>
      </w:tabs>
      <w:spacing w:before="260" w:after="260" w:line="413" w:lineRule="auto"/>
      <w:jc w:val="both"/>
    </w:pPr>
    <w:rPr>
      <w:rFonts w:ascii="Arial" w:hAnsi="Arial"/>
      <w:bCs/>
      <w:sz w:val="24"/>
      <w:szCs w:val="32"/>
    </w:rPr>
  </w:style>
  <w:style w:type="character" w:customStyle="1" w:styleId="80">
    <w:name w:val="Char Char5"/>
    <w:qFormat/>
    <w:uiPriority w:val="0"/>
    <w:rPr>
      <w:rFonts w:ascii="Arial" w:hAnsi="Arial" w:eastAsia="宋体"/>
      <w:b/>
      <w:sz w:val="32"/>
      <w:lang w:val="en-US" w:eastAsia="zh-CN" w:bidi="ar-SA"/>
    </w:rPr>
  </w:style>
  <w:style w:type="character" w:customStyle="1" w:styleId="81">
    <w:name w:val="文档结构图 Char3"/>
    <w:qFormat/>
    <w:uiPriority w:val="0"/>
    <w:rPr>
      <w:rFonts w:ascii="宋体"/>
      <w:kern w:val="2"/>
      <w:sz w:val="18"/>
      <w:szCs w:val="18"/>
    </w:rPr>
  </w:style>
  <w:style w:type="character" w:customStyle="1" w:styleId="82">
    <w:name w:val="Heading 1 Char"/>
    <w:qFormat/>
    <w:locked/>
    <w:uiPriority w:val="0"/>
    <w:rPr>
      <w:rFonts w:eastAsia="宋体"/>
      <w:b/>
      <w:kern w:val="44"/>
      <w:sz w:val="44"/>
      <w:lang w:val="en-US" w:eastAsia="ar-SA" w:bidi="ar-SA"/>
    </w:rPr>
  </w:style>
  <w:style w:type="character" w:customStyle="1" w:styleId="83">
    <w:name w:val="批注框文本 Char2"/>
    <w:qFormat/>
    <w:uiPriority w:val="0"/>
    <w:rPr>
      <w:kern w:val="2"/>
      <w:sz w:val="18"/>
      <w:szCs w:val="18"/>
    </w:rPr>
  </w:style>
  <w:style w:type="character" w:customStyle="1" w:styleId="84">
    <w:name w:val="页脚 Char1"/>
    <w:semiHidden/>
    <w:qFormat/>
    <w:uiPriority w:val="0"/>
    <w:rPr>
      <w:rFonts w:ascii="Times New Roman" w:hAnsi="Times New Roman" w:eastAsia="宋体"/>
      <w:kern w:val="2"/>
      <w:sz w:val="18"/>
      <w:szCs w:val="18"/>
    </w:rPr>
  </w:style>
  <w:style w:type="character" w:customStyle="1" w:styleId="85">
    <w:name w:val="font41"/>
    <w:qFormat/>
    <w:uiPriority w:val="0"/>
    <w:rPr>
      <w:rFonts w:hint="eastAsia" w:ascii="宋体" w:hAnsi="宋体" w:eastAsia="宋体" w:cs="宋体"/>
      <w:color w:val="000000"/>
      <w:sz w:val="20"/>
      <w:szCs w:val="20"/>
      <w:u w:val="none"/>
    </w:rPr>
  </w:style>
  <w:style w:type="character" w:customStyle="1" w:styleId="86">
    <w:name w:val="明显引用 字符"/>
    <w:link w:val="87"/>
    <w:qFormat/>
    <w:uiPriority w:val="0"/>
    <w:rPr>
      <w:b/>
      <w:bCs/>
      <w:i/>
      <w:iCs/>
      <w:color w:val="4F81BD"/>
      <w:kern w:val="2"/>
      <w:sz w:val="21"/>
      <w:szCs w:val="22"/>
    </w:rPr>
  </w:style>
  <w:style w:type="paragraph" w:styleId="87">
    <w:name w:val="Intense Quote"/>
    <w:basedOn w:val="1"/>
    <w:next w:val="1"/>
    <w:link w:val="86"/>
    <w:qFormat/>
    <w:uiPriority w:val="0"/>
    <w:pPr>
      <w:pBdr>
        <w:bottom w:val="single" w:color="4F81BD" w:sz="4" w:space="4"/>
      </w:pBdr>
      <w:spacing w:before="200" w:after="280"/>
      <w:ind w:left="936" w:right="936"/>
    </w:pPr>
    <w:rPr>
      <w:b/>
      <w:bCs/>
      <w:i/>
      <w:iCs/>
      <w:color w:val="4F81BD"/>
      <w:szCs w:val="22"/>
    </w:rPr>
  </w:style>
  <w:style w:type="character" w:customStyle="1" w:styleId="88">
    <w:name w:val="Blockquote Char Char"/>
    <w:qFormat/>
    <w:uiPriority w:val="0"/>
    <w:rPr>
      <w:rFonts w:eastAsia="宋体"/>
      <w:sz w:val="24"/>
      <w:lang w:val="en-US" w:eastAsia="zh-CN" w:bidi="ar-SA"/>
    </w:rPr>
  </w:style>
  <w:style w:type="character" w:customStyle="1" w:styleId="89">
    <w:name w:val="标题 Char1"/>
    <w:qFormat/>
    <w:uiPriority w:val="0"/>
    <w:rPr>
      <w:rFonts w:ascii="Calibri Light" w:hAnsi="Calibri Light" w:cs="Times New Roman"/>
      <w:b/>
      <w:bCs/>
      <w:kern w:val="2"/>
      <w:sz w:val="32"/>
      <w:szCs w:val="32"/>
    </w:rPr>
  </w:style>
  <w:style w:type="character" w:customStyle="1" w:styleId="90">
    <w:name w:val="apple-converted-space"/>
    <w:basedOn w:val="50"/>
    <w:qFormat/>
    <w:uiPriority w:val="0"/>
  </w:style>
  <w:style w:type="character" w:customStyle="1" w:styleId="91">
    <w:name w:val="标题4 Char Char"/>
    <w:link w:val="92"/>
    <w:qFormat/>
    <w:uiPriority w:val="0"/>
    <w:rPr>
      <w:rFonts w:ascii="Arial" w:hAnsi="Arial"/>
      <w:b/>
      <w:bCs/>
      <w:sz w:val="24"/>
      <w:szCs w:val="32"/>
    </w:rPr>
  </w:style>
  <w:style w:type="paragraph" w:customStyle="1" w:styleId="92">
    <w:name w:val="标题4"/>
    <w:basedOn w:val="3"/>
    <w:next w:val="23"/>
    <w:link w:val="91"/>
    <w:qFormat/>
    <w:uiPriority w:val="0"/>
    <w:pPr>
      <w:widowControl w:val="0"/>
      <w:spacing w:line="413" w:lineRule="auto"/>
      <w:jc w:val="both"/>
    </w:pPr>
    <w:rPr>
      <w:rFonts w:eastAsia="宋体"/>
      <w:bCs/>
      <w:sz w:val="24"/>
      <w:szCs w:val="32"/>
    </w:rPr>
  </w:style>
  <w:style w:type="character" w:customStyle="1" w:styleId="93">
    <w:name w:val="批注主题 Char3"/>
    <w:semiHidden/>
    <w:qFormat/>
    <w:uiPriority w:val="0"/>
    <w:rPr>
      <w:rFonts w:ascii="Times New Roman" w:hAnsi="Times New Roman" w:eastAsia="宋体"/>
      <w:b/>
      <w:bCs/>
      <w:kern w:val="2"/>
      <w:sz w:val="21"/>
      <w:szCs w:val="24"/>
    </w:rPr>
  </w:style>
  <w:style w:type="character" w:customStyle="1" w:styleId="94">
    <w:name w:val="标题 5 字符"/>
    <w:link w:val="7"/>
    <w:qFormat/>
    <w:uiPriority w:val="0"/>
    <w:rPr>
      <w:rFonts w:ascii="宋体" w:hAnsi="宋体"/>
      <w:b/>
      <w:sz w:val="24"/>
    </w:rPr>
  </w:style>
  <w:style w:type="character" w:customStyle="1" w:styleId="95">
    <w:name w:val="Char Char23"/>
    <w:qFormat/>
    <w:uiPriority w:val="0"/>
    <w:rPr>
      <w:rFonts w:ascii="宋体" w:hAnsi="宋体" w:eastAsia="宋体"/>
      <w:b/>
      <w:color w:val="FF0000"/>
      <w:kern w:val="1"/>
      <w:sz w:val="28"/>
      <w:szCs w:val="24"/>
      <w:u w:val="single"/>
      <w:lang w:val="en-US" w:eastAsia="ar-SA" w:bidi="ar-SA"/>
    </w:rPr>
  </w:style>
  <w:style w:type="character" w:customStyle="1" w:styleId="96">
    <w:name w:val="t_tag"/>
    <w:basedOn w:val="50"/>
    <w:qFormat/>
    <w:uiPriority w:val="0"/>
  </w:style>
  <w:style w:type="character" w:customStyle="1" w:styleId="97">
    <w:name w:val="Char Char26"/>
    <w:qFormat/>
    <w:uiPriority w:val="0"/>
    <w:rPr>
      <w:rFonts w:ascii="宋体" w:hAnsi="宋体" w:eastAsia="宋体"/>
      <w:b/>
      <w:color w:val="FF0000"/>
      <w:kern w:val="1"/>
      <w:sz w:val="28"/>
      <w:szCs w:val="24"/>
      <w:u w:val="single"/>
      <w:lang w:val="en-US" w:eastAsia="ar-SA" w:bidi="ar-SA"/>
    </w:rPr>
  </w:style>
  <w:style w:type="character" w:customStyle="1" w:styleId="98">
    <w:name w:val="批注框文本 Char1"/>
    <w:qFormat/>
    <w:uiPriority w:val="0"/>
    <w:rPr>
      <w:kern w:val="2"/>
      <w:sz w:val="18"/>
      <w:szCs w:val="18"/>
    </w:rPr>
  </w:style>
  <w:style w:type="character" w:customStyle="1" w:styleId="99">
    <w:name w:val="批注框文本 字符"/>
    <w:link w:val="30"/>
    <w:qFormat/>
    <w:uiPriority w:val="0"/>
    <w:rPr>
      <w:rFonts w:ascii="仿宋_GB2312" w:eastAsia="仿宋_GB2312"/>
      <w:kern w:val="2"/>
      <w:sz w:val="18"/>
      <w:szCs w:val="18"/>
    </w:rPr>
  </w:style>
  <w:style w:type="character" w:customStyle="1" w:styleId="100">
    <w:name w:val="font01"/>
    <w:qFormat/>
    <w:uiPriority w:val="0"/>
    <w:rPr>
      <w:rFonts w:hint="default" w:ascii="Times New Roman" w:hAnsi="Times New Roman" w:cs="Times New Roman"/>
      <w:color w:val="000000"/>
      <w:sz w:val="20"/>
      <w:szCs w:val="20"/>
      <w:u w:val="none"/>
    </w:rPr>
  </w:style>
  <w:style w:type="character" w:customStyle="1" w:styleId="101">
    <w:name w:val="标题 6 字符"/>
    <w:link w:val="8"/>
    <w:qFormat/>
    <w:uiPriority w:val="0"/>
    <w:rPr>
      <w:rFonts w:ascii="Arial" w:hAnsi="Arial" w:eastAsia="黑体"/>
      <w:b/>
      <w:bCs/>
      <w:sz w:val="24"/>
      <w:szCs w:val="24"/>
    </w:rPr>
  </w:style>
  <w:style w:type="character" w:customStyle="1" w:styleId="102">
    <w:name w:val="Char Char6"/>
    <w:qFormat/>
    <w:uiPriority w:val="0"/>
    <w:rPr>
      <w:rFonts w:eastAsia="宋体"/>
      <w:kern w:val="2"/>
      <w:sz w:val="21"/>
      <w:szCs w:val="24"/>
      <w:lang w:val="en-US" w:eastAsia="zh-CN" w:bidi="ar-SA"/>
    </w:rPr>
  </w:style>
  <w:style w:type="character" w:customStyle="1" w:styleId="103">
    <w:name w:val="Char Char27"/>
    <w:qFormat/>
    <w:uiPriority w:val="0"/>
    <w:rPr>
      <w:rFonts w:eastAsia="宋体"/>
      <w:b/>
      <w:bCs/>
      <w:kern w:val="44"/>
      <w:sz w:val="32"/>
      <w:szCs w:val="44"/>
      <w:lang w:val="en-US" w:eastAsia="ar-SA" w:bidi="ar-SA"/>
    </w:rPr>
  </w:style>
  <w:style w:type="character" w:customStyle="1" w:styleId="104">
    <w:name w:val="纯文本 Char1"/>
    <w:qFormat/>
    <w:uiPriority w:val="0"/>
    <w:rPr>
      <w:rFonts w:ascii="宋体" w:hAnsi="Courier New" w:cs="Courier New"/>
      <w:kern w:val="2"/>
      <w:sz w:val="21"/>
      <w:szCs w:val="21"/>
    </w:rPr>
  </w:style>
  <w:style w:type="character" w:customStyle="1" w:styleId="105">
    <w:name w:val="正文缩进 字符"/>
    <w:qFormat/>
    <w:uiPriority w:val="0"/>
    <w:rPr>
      <w:kern w:val="2"/>
      <w:sz w:val="21"/>
      <w:szCs w:val="24"/>
    </w:rPr>
  </w:style>
  <w:style w:type="character" w:customStyle="1" w:styleId="106">
    <w:name w:val="批注主题 Char1"/>
    <w:qFormat/>
    <w:uiPriority w:val="0"/>
    <w:rPr>
      <w:b/>
      <w:bCs/>
      <w:kern w:val="2"/>
      <w:sz w:val="21"/>
      <w:szCs w:val="22"/>
    </w:rPr>
  </w:style>
  <w:style w:type="character" w:customStyle="1" w:styleId="107">
    <w:name w:val="Plain Text Char Char"/>
    <w:link w:val="108"/>
    <w:qFormat/>
    <w:uiPriority w:val="0"/>
    <w:rPr>
      <w:rFonts w:ascii="宋体" w:hAnsi="Courier New"/>
      <w:kern w:val="2"/>
      <w:sz w:val="21"/>
      <w:szCs w:val="21"/>
    </w:rPr>
  </w:style>
  <w:style w:type="paragraph" w:customStyle="1" w:styleId="108">
    <w:name w:val="纯文本1"/>
    <w:basedOn w:val="1"/>
    <w:link w:val="107"/>
    <w:qFormat/>
    <w:uiPriority w:val="0"/>
    <w:rPr>
      <w:rFonts w:ascii="宋体" w:hAnsi="Courier New"/>
      <w:szCs w:val="21"/>
    </w:rPr>
  </w:style>
  <w:style w:type="character" w:customStyle="1" w:styleId="109">
    <w:name w:val="标题 1 字符"/>
    <w:link w:val="2"/>
    <w:qFormat/>
    <w:uiPriority w:val="0"/>
    <w:rPr>
      <w:rFonts w:ascii="黑体" w:eastAsia="黑体"/>
      <w:sz w:val="52"/>
    </w:rPr>
  </w:style>
  <w:style w:type="character" w:customStyle="1" w:styleId="110">
    <w:name w:val="文档结构图 Char2"/>
    <w:qFormat/>
    <w:uiPriority w:val="0"/>
    <w:rPr>
      <w:rFonts w:ascii="Microsoft YaHei UI" w:eastAsia="Microsoft YaHei UI"/>
      <w:kern w:val="2"/>
      <w:sz w:val="18"/>
      <w:szCs w:val="18"/>
    </w:rPr>
  </w:style>
  <w:style w:type="character" w:customStyle="1" w:styleId="111">
    <w:name w:val="文档结构图 字符"/>
    <w:link w:val="14"/>
    <w:qFormat/>
    <w:uiPriority w:val="0"/>
    <w:rPr>
      <w:kern w:val="2"/>
      <w:sz w:val="21"/>
      <w:szCs w:val="24"/>
      <w:shd w:val="clear" w:color="auto" w:fill="000080"/>
    </w:rPr>
  </w:style>
  <w:style w:type="character" w:customStyle="1" w:styleId="112">
    <w:name w:val="正文文本 Char2"/>
    <w:qFormat/>
    <w:uiPriority w:val="0"/>
    <w:rPr>
      <w:kern w:val="2"/>
      <w:sz w:val="21"/>
      <w:szCs w:val="22"/>
    </w:rPr>
  </w:style>
  <w:style w:type="character" w:customStyle="1" w:styleId="113">
    <w:name w:val="正文文本 Char3"/>
    <w:semiHidden/>
    <w:qFormat/>
    <w:uiPriority w:val="0"/>
    <w:rPr>
      <w:rFonts w:ascii="Times New Roman" w:hAnsi="Times New Roman" w:eastAsia="宋体"/>
      <w:kern w:val="2"/>
      <w:sz w:val="21"/>
      <w:szCs w:val="24"/>
    </w:rPr>
  </w:style>
  <w:style w:type="character" w:customStyle="1" w:styleId="114">
    <w:name w:val="正文文本 Char1"/>
    <w:qFormat/>
    <w:uiPriority w:val="0"/>
    <w:rPr>
      <w:kern w:val="2"/>
      <w:sz w:val="21"/>
      <w:szCs w:val="22"/>
    </w:rPr>
  </w:style>
  <w:style w:type="character" w:customStyle="1" w:styleId="115">
    <w:name w:val="纯文本 Char2"/>
    <w:qFormat/>
    <w:uiPriority w:val="99"/>
    <w:rPr>
      <w:rFonts w:ascii="宋体" w:hAnsi="Courier New" w:eastAsia="宋体" w:cs="Courier New"/>
      <w:szCs w:val="21"/>
    </w:rPr>
  </w:style>
  <w:style w:type="character" w:customStyle="1" w:styleId="116">
    <w:name w:val="批注文字 Char1"/>
    <w:qFormat/>
    <w:uiPriority w:val="0"/>
    <w:rPr>
      <w:kern w:val="2"/>
      <w:sz w:val="21"/>
      <w:szCs w:val="22"/>
    </w:rPr>
  </w:style>
  <w:style w:type="character" w:customStyle="1" w:styleId="117">
    <w:name w:val="普通文字 Char2"/>
    <w:qFormat/>
    <w:uiPriority w:val="0"/>
    <w:rPr>
      <w:rFonts w:ascii="宋体" w:hAnsi="Courier New" w:eastAsia="仿宋_GB2312" w:cs="Courier New"/>
      <w:kern w:val="2"/>
      <w:sz w:val="32"/>
      <w:szCs w:val="21"/>
      <w:lang w:val="en-US" w:eastAsia="zh-CN" w:bidi="ar-SA"/>
    </w:rPr>
  </w:style>
  <w:style w:type="character" w:customStyle="1" w:styleId="118">
    <w:name w:val="Char Char21"/>
    <w:qFormat/>
    <w:uiPriority w:val="0"/>
    <w:rPr>
      <w:rFonts w:ascii="Arial" w:hAnsi="Arial" w:eastAsia="黑体"/>
      <w:b/>
      <w:bCs/>
      <w:kern w:val="1"/>
      <w:sz w:val="72"/>
      <w:szCs w:val="28"/>
      <w:lang w:val="en-US" w:eastAsia="ar-SA" w:bidi="he-IL"/>
    </w:rPr>
  </w:style>
  <w:style w:type="character" w:customStyle="1" w:styleId="119">
    <w:name w:val="WW8Num1z0"/>
    <w:qFormat/>
    <w:uiPriority w:val="0"/>
    <w:rPr>
      <w:rFonts w:ascii="宋体" w:hAnsi="宋体" w:eastAsia="宋体" w:cs="Times New Roman"/>
    </w:rPr>
  </w:style>
  <w:style w:type="character" w:customStyle="1" w:styleId="120">
    <w:name w:val="red1"/>
    <w:qFormat/>
    <w:uiPriority w:val="0"/>
    <w:rPr>
      <w:color w:val="FF0000"/>
    </w:rPr>
  </w:style>
  <w:style w:type="character" w:customStyle="1" w:styleId="121">
    <w:name w:val="WW8Num1z1"/>
    <w:qFormat/>
    <w:uiPriority w:val="0"/>
    <w:rPr>
      <w:rFonts w:ascii="Wingdings" w:hAnsi="Wingdings"/>
    </w:rPr>
  </w:style>
  <w:style w:type="character" w:customStyle="1" w:styleId="122">
    <w:name w:val="正文文本缩进 字符"/>
    <w:link w:val="19"/>
    <w:qFormat/>
    <w:uiPriority w:val="0"/>
    <w:rPr>
      <w:rFonts w:eastAsia="宋体"/>
      <w:kern w:val="2"/>
      <w:sz w:val="21"/>
      <w:szCs w:val="24"/>
      <w:lang w:val="en-US" w:eastAsia="zh-CN" w:bidi="ar-SA"/>
    </w:rPr>
  </w:style>
  <w:style w:type="character" w:customStyle="1" w:styleId="123">
    <w:name w:val="15"/>
    <w:qFormat/>
    <w:uiPriority w:val="0"/>
    <w:rPr>
      <w:rFonts w:hint="default" w:ascii="Calibri" w:hAnsi="Calibri"/>
      <w:b/>
      <w:bCs/>
      <w:sz w:val="20"/>
      <w:szCs w:val="20"/>
    </w:rPr>
  </w:style>
  <w:style w:type="character" w:customStyle="1" w:styleId="124">
    <w:name w:val="副标题 Char2"/>
    <w:qFormat/>
    <w:uiPriority w:val="0"/>
    <w:rPr>
      <w:rFonts w:ascii="Cambria" w:hAnsi="Cambria" w:cs="Times New Roman"/>
      <w:b/>
      <w:bCs/>
      <w:kern w:val="28"/>
      <w:sz w:val="32"/>
      <w:szCs w:val="32"/>
    </w:rPr>
  </w:style>
  <w:style w:type="character" w:customStyle="1" w:styleId="125">
    <w:name w:val="textcontents"/>
    <w:qFormat/>
    <w:uiPriority w:val="0"/>
    <w:rPr>
      <w:rFonts w:cs="Times New Roman"/>
    </w:rPr>
  </w:style>
  <w:style w:type="character" w:customStyle="1" w:styleId="126">
    <w:name w:val="批注主题 Char2"/>
    <w:qFormat/>
    <w:uiPriority w:val="0"/>
    <w:rPr>
      <w:b/>
      <w:bCs/>
      <w:kern w:val="2"/>
      <w:sz w:val="21"/>
      <w:szCs w:val="22"/>
    </w:rPr>
  </w:style>
  <w:style w:type="character" w:customStyle="1" w:styleId="127">
    <w:name w:val="apple-style-span"/>
    <w:basedOn w:val="50"/>
    <w:qFormat/>
    <w:uiPriority w:val="0"/>
  </w:style>
  <w:style w:type="character" w:customStyle="1" w:styleId="128">
    <w:name w:val="明显引用 Char2"/>
    <w:qFormat/>
    <w:uiPriority w:val="0"/>
    <w:rPr>
      <w:b/>
      <w:bCs/>
      <w:i/>
      <w:iCs/>
      <w:color w:val="4F81BD"/>
      <w:kern w:val="2"/>
      <w:sz w:val="21"/>
      <w:szCs w:val="24"/>
    </w:rPr>
  </w:style>
  <w:style w:type="character" w:customStyle="1" w:styleId="129">
    <w:name w:val="Intense Emphasis"/>
    <w:qFormat/>
    <w:uiPriority w:val="0"/>
    <w:rPr>
      <w:b/>
      <w:bCs/>
      <w:i/>
      <w:iCs/>
      <w:color w:val="4F81BD"/>
    </w:rPr>
  </w:style>
  <w:style w:type="character" w:customStyle="1" w:styleId="130">
    <w:name w:val="引用 Char2"/>
    <w:qFormat/>
    <w:uiPriority w:val="0"/>
    <w:rPr>
      <w:i/>
      <w:iCs/>
      <w:color w:val="000000"/>
      <w:kern w:val="2"/>
      <w:sz w:val="21"/>
      <w:szCs w:val="24"/>
    </w:rPr>
  </w:style>
  <w:style w:type="character" w:customStyle="1" w:styleId="131">
    <w:name w:val="Char Char17"/>
    <w:qFormat/>
    <w:uiPriority w:val="0"/>
    <w:rPr>
      <w:rFonts w:ascii="Arial" w:hAnsi="Arial" w:eastAsia="黑体"/>
      <w:b/>
      <w:bCs/>
      <w:kern w:val="2"/>
      <w:sz w:val="32"/>
      <w:szCs w:val="32"/>
      <w:lang w:val="en-US" w:eastAsia="zh-CN" w:bidi="ar-SA"/>
    </w:rPr>
  </w:style>
  <w:style w:type="character" w:customStyle="1" w:styleId="132">
    <w:name w:val="标题 4 字符"/>
    <w:link w:val="6"/>
    <w:qFormat/>
    <w:uiPriority w:val="0"/>
    <w:rPr>
      <w:rFonts w:ascii="Arial" w:hAnsi="Arial" w:eastAsia="黑体"/>
      <w:sz w:val="28"/>
      <w:lang w:val="en-US" w:eastAsia="zh-CN" w:bidi="ar-SA"/>
    </w:rPr>
  </w:style>
  <w:style w:type="character" w:customStyle="1" w:styleId="133">
    <w:name w:val="Subtle Reference"/>
    <w:qFormat/>
    <w:uiPriority w:val="0"/>
    <w:rPr>
      <w:smallCaps/>
      <w:color w:val="C0504D"/>
      <w:u w:val="single"/>
    </w:rPr>
  </w:style>
  <w:style w:type="character" w:customStyle="1" w:styleId="134">
    <w:name w:val="副标题 字符"/>
    <w:link w:val="37"/>
    <w:qFormat/>
    <w:uiPriority w:val="0"/>
    <w:rPr>
      <w:rFonts w:ascii="Arial" w:hAnsi="Arial" w:eastAsia="仿宋_GB2312" w:cs="Arial"/>
      <w:b/>
      <w:bCs/>
      <w:kern w:val="28"/>
      <w:sz w:val="32"/>
      <w:szCs w:val="32"/>
    </w:rPr>
  </w:style>
  <w:style w:type="character" w:customStyle="1" w:styleId="135">
    <w:name w:val="Char Char4"/>
    <w:qFormat/>
    <w:uiPriority w:val="0"/>
    <w:rPr>
      <w:rFonts w:ascii="宋体" w:hAnsi="Courier New" w:eastAsia="宋体" w:cs="Courier New"/>
      <w:kern w:val="2"/>
      <w:sz w:val="21"/>
      <w:szCs w:val="21"/>
      <w:lang w:val="en-US" w:eastAsia="zh-CN" w:bidi="ar-SA"/>
    </w:rPr>
  </w:style>
  <w:style w:type="character" w:customStyle="1" w:styleId="136">
    <w:name w:val="Char Char25"/>
    <w:qFormat/>
    <w:uiPriority w:val="0"/>
    <w:rPr>
      <w:b/>
      <w:bCs/>
      <w:kern w:val="1"/>
      <w:sz w:val="24"/>
      <w:szCs w:val="32"/>
      <w:lang w:eastAsia="ar-SA"/>
    </w:rPr>
  </w:style>
  <w:style w:type="character" w:customStyle="1" w:styleId="137">
    <w:name w:val="引用 字符"/>
    <w:link w:val="138"/>
    <w:qFormat/>
    <w:uiPriority w:val="0"/>
    <w:rPr>
      <w:i/>
      <w:iCs/>
      <w:color w:val="000000"/>
      <w:kern w:val="2"/>
      <w:sz w:val="21"/>
      <w:szCs w:val="22"/>
    </w:rPr>
  </w:style>
  <w:style w:type="paragraph" w:styleId="138">
    <w:name w:val="Quote"/>
    <w:basedOn w:val="1"/>
    <w:next w:val="1"/>
    <w:link w:val="137"/>
    <w:qFormat/>
    <w:uiPriority w:val="0"/>
    <w:rPr>
      <w:i/>
      <w:iCs/>
      <w:color w:val="000000"/>
      <w:szCs w:val="22"/>
    </w:rPr>
  </w:style>
  <w:style w:type="character" w:customStyle="1" w:styleId="139">
    <w:name w:val="脚注文本 字符"/>
    <w:link w:val="39"/>
    <w:qFormat/>
    <w:uiPriority w:val="0"/>
    <w:rPr>
      <w:kern w:val="2"/>
      <w:sz w:val="18"/>
      <w:szCs w:val="18"/>
    </w:rPr>
  </w:style>
  <w:style w:type="character" w:customStyle="1" w:styleId="140">
    <w:name w:val="批注主题 字符"/>
    <w:link w:val="47"/>
    <w:qFormat/>
    <w:uiPriority w:val="0"/>
    <w:rPr>
      <w:rFonts w:eastAsia="宋体"/>
      <w:b/>
      <w:bCs/>
      <w:kern w:val="2"/>
      <w:sz w:val="21"/>
      <w:szCs w:val="24"/>
      <w:lang w:val="en-US" w:eastAsia="zh-CN" w:bidi="ar-SA"/>
    </w:rPr>
  </w:style>
  <w:style w:type="character" w:customStyle="1" w:styleId="141">
    <w:name w:val="纯文本 字符"/>
    <w:qFormat/>
    <w:uiPriority w:val="0"/>
    <w:rPr>
      <w:rFonts w:ascii="宋体" w:hAnsi="Courier New" w:cs="Courier New"/>
      <w:sz w:val="21"/>
      <w:szCs w:val="21"/>
    </w:rPr>
  </w:style>
  <w:style w:type="character" w:customStyle="1" w:styleId="142">
    <w:name w:val="标题 3 字符"/>
    <w:link w:val="5"/>
    <w:qFormat/>
    <w:uiPriority w:val="0"/>
    <w:rPr>
      <w:rFonts w:eastAsia="宋体"/>
      <w:b/>
      <w:sz w:val="32"/>
      <w:lang w:val="en-US" w:eastAsia="zh-CN" w:bidi="ar-SA"/>
    </w:rPr>
  </w:style>
  <w:style w:type="character" w:customStyle="1" w:styleId="143">
    <w:name w:val="日期 字符"/>
    <w:link w:val="28"/>
    <w:qFormat/>
    <w:uiPriority w:val="0"/>
    <w:rPr>
      <w:rFonts w:eastAsia="宋体"/>
      <w:kern w:val="2"/>
      <w:sz w:val="24"/>
      <w:lang w:val="en-US" w:eastAsia="zh-CN" w:bidi="ar-SA"/>
    </w:rPr>
  </w:style>
  <w:style w:type="character" w:customStyle="1" w:styleId="144">
    <w:name w:val="Char Char10"/>
    <w:qFormat/>
    <w:uiPriority w:val="0"/>
    <w:rPr>
      <w:rFonts w:ascii="黑体" w:eastAsia="黑体"/>
      <w:kern w:val="2"/>
      <w:sz w:val="52"/>
      <w:szCs w:val="32"/>
      <w:lang w:val="en-US" w:eastAsia="zh-CN" w:bidi="ar-SA"/>
    </w:rPr>
  </w:style>
  <w:style w:type="character" w:customStyle="1" w:styleId="145">
    <w:name w:val="标题 7 字符"/>
    <w:link w:val="9"/>
    <w:qFormat/>
    <w:uiPriority w:val="0"/>
    <w:rPr>
      <w:b/>
      <w:bCs/>
      <w:sz w:val="24"/>
      <w:szCs w:val="24"/>
    </w:rPr>
  </w:style>
  <w:style w:type="character" w:customStyle="1" w:styleId="146">
    <w:name w:val="称呼 字符"/>
    <w:link w:val="16"/>
    <w:qFormat/>
    <w:uiPriority w:val="0"/>
    <w:rPr>
      <w:rFonts w:ascii="仿宋_GB2312" w:eastAsia="仿宋_GB2312"/>
      <w:kern w:val="2"/>
      <w:sz w:val="28"/>
      <w:lang w:val="en-US" w:eastAsia="zh-CN" w:bidi="ar-SA"/>
    </w:rPr>
  </w:style>
  <w:style w:type="character" w:customStyle="1" w:styleId="147">
    <w:name w:val="日期 Char2"/>
    <w:qFormat/>
    <w:uiPriority w:val="0"/>
    <w:rPr>
      <w:kern w:val="2"/>
      <w:sz w:val="21"/>
      <w:szCs w:val="22"/>
    </w:rPr>
  </w:style>
  <w:style w:type="character" w:customStyle="1" w:styleId="148">
    <w:name w:val="批注文字 Char Char"/>
    <w:qFormat/>
    <w:uiPriority w:val="0"/>
    <w:rPr>
      <w:rFonts w:ascii="宋体" w:hAnsi="Times New Roman" w:eastAsia="宋体" w:cs="Times New Roman"/>
      <w:sz w:val="28"/>
      <w:szCs w:val="20"/>
    </w:rPr>
  </w:style>
  <w:style w:type="character" w:customStyle="1" w:styleId="149">
    <w:name w:val="Char Char18"/>
    <w:qFormat/>
    <w:uiPriority w:val="0"/>
    <w:rPr>
      <w:rFonts w:eastAsia="宋体"/>
      <w:b/>
      <w:bCs/>
      <w:kern w:val="44"/>
      <w:sz w:val="44"/>
      <w:szCs w:val="44"/>
      <w:lang w:val="en-US" w:eastAsia="zh-CN" w:bidi="ar-SA"/>
    </w:rPr>
  </w:style>
  <w:style w:type="character" w:customStyle="1" w:styleId="150">
    <w:name w:val="Char Char19"/>
    <w:qFormat/>
    <w:uiPriority w:val="0"/>
    <w:rPr>
      <w:rFonts w:ascii="Arial" w:hAnsi="Arial" w:eastAsia="黑体"/>
      <w:b/>
      <w:bCs/>
      <w:sz w:val="24"/>
      <w:szCs w:val="24"/>
      <w:lang w:val="en-US" w:eastAsia="zh-CN" w:bidi="ar-SA"/>
    </w:rPr>
  </w:style>
  <w:style w:type="character" w:customStyle="1" w:styleId="151">
    <w:name w:val="标题 8 字符"/>
    <w:link w:val="10"/>
    <w:qFormat/>
    <w:uiPriority w:val="0"/>
    <w:rPr>
      <w:rFonts w:ascii="Arial" w:hAnsi="Arial" w:eastAsia="黑体"/>
      <w:sz w:val="24"/>
      <w:szCs w:val="24"/>
    </w:rPr>
  </w:style>
  <w:style w:type="character" w:customStyle="1" w:styleId="152">
    <w:name w:val="页眉 Char1"/>
    <w:semiHidden/>
    <w:qFormat/>
    <w:uiPriority w:val="0"/>
    <w:rPr>
      <w:rFonts w:ascii="Times New Roman" w:hAnsi="Times New Roman" w:eastAsia="宋体"/>
      <w:kern w:val="2"/>
      <w:sz w:val="18"/>
      <w:szCs w:val="18"/>
    </w:rPr>
  </w:style>
  <w:style w:type="character" w:customStyle="1" w:styleId="153">
    <w:name w:val="Subtle Emphasis"/>
    <w:qFormat/>
    <w:uiPriority w:val="0"/>
    <w:rPr>
      <w:i/>
      <w:iCs/>
      <w:color w:val="808080"/>
    </w:rPr>
  </w:style>
  <w:style w:type="character" w:customStyle="1" w:styleId="154">
    <w:name w:val="标题 Char2"/>
    <w:qFormat/>
    <w:uiPriority w:val="0"/>
    <w:rPr>
      <w:rFonts w:ascii="Cambria" w:hAnsi="Cambria" w:cs="Times New Roman"/>
      <w:b/>
      <w:bCs/>
      <w:kern w:val="2"/>
      <w:sz w:val="32"/>
      <w:szCs w:val="32"/>
    </w:rPr>
  </w:style>
  <w:style w:type="character" w:customStyle="1" w:styleId="155">
    <w:name w:val="font161"/>
    <w:qFormat/>
    <w:uiPriority w:val="0"/>
    <w:rPr>
      <w:b/>
      <w:bCs/>
      <w:sz w:val="32"/>
      <w:szCs w:val="32"/>
    </w:rPr>
  </w:style>
  <w:style w:type="character" w:customStyle="1" w:styleId="156">
    <w:name w:val="正文文本 2 字符"/>
    <w:link w:val="44"/>
    <w:qFormat/>
    <w:uiPriority w:val="0"/>
    <w:rPr>
      <w:kern w:val="2"/>
      <w:sz w:val="21"/>
      <w:szCs w:val="24"/>
    </w:rPr>
  </w:style>
  <w:style w:type="character" w:customStyle="1" w:styleId="157">
    <w:name w:val="纯文本 字符1"/>
    <w:link w:val="26"/>
    <w:qFormat/>
    <w:uiPriority w:val="0"/>
    <w:rPr>
      <w:rFonts w:ascii="宋体" w:hAnsi="Courier New" w:eastAsia="宋体" w:cs="Courier New"/>
      <w:kern w:val="2"/>
      <w:sz w:val="21"/>
      <w:szCs w:val="21"/>
      <w:lang w:val="en-US" w:eastAsia="zh-CN" w:bidi="ar-SA"/>
    </w:rPr>
  </w:style>
  <w:style w:type="character" w:customStyle="1" w:styleId="158">
    <w:name w:val="明显引用 Char1"/>
    <w:qFormat/>
    <w:uiPriority w:val="0"/>
    <w:rPr>
      <w:i/>
      <w:iCs/>
      <w:color w:val="5B9BD5"/>
      <w:kern w:val="2"/>
      <w:sz w:val="21"/>
      <w:szCs w:val="22"/>
    </w:rPr>
  </w:style>
  <w:style w:type="character" w:customStyle="1" w:styleId="159">
    <w:name w:val="页眉 Char Char"/>
    <w:qFormat/>
    <w:uiPriority w:val="0"/>
    <w:rPr>
      <w:rFonts w:eastAsia="宋体"/>
      <w:kern w:val="2"/>
      <w:sz w:val="18"/>
      <w:szCs w:val="18"/>
      <w:lang w:val="en-US" w:eastAsia="zh-CN" w:bidi="ar-SA"/>
    </w:rPr>
  </w:style>
  <w:style w:type="character" w:customStyle="1" w:styleId="160">
    <w:name w:val="Book Title"/>
    <w:qFormat/>
    <w:uiPriority w:val="0"/>
    <w:rPr>
      <w:b/>
      <w:bCs/>
      <w:smallCaps/>
      <w:spacing w:val="5"/>
    </w:rPr>
  </w:style>
  <w:style w:type="character" w:customStyle="1" w:styleId="161">
    <w:name w:val="引用 Char1"/>
    <w:qFormat/>
    <w:uiPriority w:val="0"/>
    <w:rPr>
      <w:i/>
      <w:iCs/>
      <w:color w:val="404040"/>
      <w:kern w:val="2"/>
      <w:sz w:val="21"/>
      <w:szCs w:val="22"/>
    </w:rPr>
  </w:style>
  <w:style w:type="character" w:customStyle="1" w:styleId="162">
    <w:name w:val="页脚 Char Char"/>
    <w:qFormat/>
    <w:uiPriority w:val="0"/>
    <w:rPr>
      <w:rFonts w:eastAsia="宋体"/>
      <w:kern w:val="2"/>
      <w:sz w:val="18"/>
      <w:szCs w:val="18"/>
      <w:lang w:val="en-US" w:eastAsia="zh-CN" w:bidi="ar-SA"/>
    </w:rPr>
  </w:style>
  <w:style w:type="character" w:customStyle="1" w:styleId="163">
    <w:name w:val="Char Char20"/>
    <w:qFormat/>
    <w:uiPriority w:val="0"/>
    <w:rPr>
      <w:rFonts w:ascii="宋体" w:hAnsi="宋体" w:eastAsia="宋体"/>
      <w:b/>
      <w:sz w:val="24"/>
      <w:lang w:val="en-US" w:eastAsia="zh-CN" w:bidi="ar-SA"/>
    </w:rPr>
  </w:style>
  <w:style w:type="character" w:customStyle="1" w:styleId="164">
    <w:name w:val="Char Char41"/>
    <w:qFormat/>
    <w:uiPriority w:val="0"/>
    <w:rPr>
      <w:rFonts w:ascii="仿宋_GB2312" w:eastAsia="仿宋_GB2312"/>
      <w:kern w:val="2"/>
      <w:sz w:val="32"/>
      <w:szCs w:val="32"/>
      <w:lang w:val="en-US" w:eastAsia="zh-CN" w:bidi="ar-SA"/>
    </w:rPr>
  </w:style>
  <w:style w:type="character" w:customStyle="1" w:styleId="165">
    <w:name w:val="WW8Num2z1"/>
    <w:qFormat/>
    <w:uiPriority w:val="0"/>
    <w:rPr>
      <w:rFonts w:ascii="Wingdings" w:hAnsi="Wingdings"/>
    </w:rPr>
  </w:style>
  <w:style w:type="paragraph" w:customStyle="1" w:styleId="166">
    <w:name w:val="font9"/>
    <w:basedOn w:val="1"/>
    <w:qFormat/>
    <w:uiPriority w:val="0"/>
    <w:pPr>
      <w:widowControl/>
      <w:spacing w:before="100" w:beforeAutospacing="1" w:after="100" w:afterAutospacing="1"/>
      <w:jc w:val="left"/>
    </w:pPr>
    <w:rPr>
      <w:kern w:val="0"/>
      <w:sz w:val="24"/>
    </w:rPr>
  </w:style>
  <w:style w:type="paragraph" w:customStyle="1" w:styleId="167">
    <w:name w:val="TOC Heading"/>
    <w:basedOn w:val="2"/>
    <w:next w:val="1"/>
    <w:qFormat/>
    <w:uiPriority w:val="0"/>
    <w:pPr>
      <w:keepLines/>
      <w:widowControl w:val="0"/>
      <w:numPr>
        <w:numId w:val="0"/>
      </w:numPr>
      <w:spacing w:before="340" w:after="330" w:line="576" w:lineRule="auto"/>
      <w:jc w:val="both"/>
      <w:outlineLvl w:val="9"/>
    </w:pPr>
    <w:rPr>
      <w:rFonts w:ascii="Calibri" w:hAnsi="Calibri" w:eastAsia="宋体"/>
      <w:b/>
      <w:bCs/>
      <w:kern w:val="44"/>
      <w:sz w:val="44"/>
      <w:szCs w:val="44"/>
    </w:rPr>
  </w:style>
  <w:style w:type="paragraph" w:customStyle="1" w:styleId="168">
    <w:name w:val="Char1 Char Char Char Char Char Char"/>
    <w:basedOn w:val="1"/>
    <w:qFormat/>
    <w:uiPriority w:val="0"/>
    <w:rPr>
      <w:rFonts w:ascii="Tahoma" w:hAnsi="Tahoma"/>
      <w:sz w:val="24"/>
      <w:szCs w:val="20"/>
    </w:rPr>
  </w:style>
  <w:style w:type="paragraph" w:customStyle="1" w:styleId="169">
    <w:name w:val="xl3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4"/>
    </w:rPr>
  </w:style>
  <w:style w:type="paragraph" w:customStyle="1" w:styleId="170">
    <w:name w:val="4"/>
    <w:basedOn w:val="14"/>
    <w:qFormat/>
    <w:uiPriority w:val="0"/>
    <w:pPr>
      <w:adjustRightInd w:val="0"/>
      <w:spacing w:line="436" w:lineRule="exact"/>
      <w:ind w:left="357"/>
      <w:jc w:val="left"/>
      <w:textAlignment w:val="baseline"/>
      <w:outlineLvl w:val="3"/>
    </w:pPr>
    <w:rPr>
      <w:rFonts w:ascii="Tahoma" w:hAnsi="Tahoma"/>
      <w:b/>
      <w:sz w:val="24"/>
    </w:rPr>
  </w:style>
  <w:style w:type="paragraph" w:customStyle="1" w:styleId="171">
    <w:name w:val="Revision"/>
    <w:qFormat/>
    <w:uiPriority w:val="99"/>
    <w:rPr>
      <w:rFonts w:ascii="Times New Roman" w:hAnsi="Times New Roman" w:eastAsia="宋体" w:cs="Times New Roman"/>
      <w:kern w:val="2"/>
      <w:sz w:val="21"/>
      <w:szCs w:val="24"/>
      <w:lang w:val="en-US" w:eastAsia="zh-CN" w:bidi="ar-SA"/>
    </w:rPr>
  </w:style>
  <w:style w:type="paragraph" w:customStyle="1" w:styleId="172">
    <w:name w:val="纯文本2"/>
    <w:basedOn w:val="1"/>
    <w:qFormat/>
    <w:uiPriority w:val="0"/>
    <w:rPr>
      <w:rFonts w:ascii="宋体" w:hAnsi="Courier New"/>
      <w:szCs w:val="21"/>
    </w:rPr>
  </w:style>
  <w:style w:type="paragraph" w:customStyle="1" w:styleId="173">
    <w:name w:val="正文1"/>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4">
    <w:name w:val="列表段落1"/>
    <w:basedOn w:val="1"/>
    <w:qFormat/>
    <w:uiPriority w:val="0"/>
    <w:pPr>
      <w:ind w:firstLine="420" w:firstLineChars="200"/>
    </w:pPr>
  </w:style>
  <w:style w:type="paragraph" w:customStyle="1" w:styleId="175">
    <w:name w:val="Table Heading"/>
    <w:basedOn w:val="176"/>
    <w:qFormat/>
    <w:uiPriority w:val="0"/>
    <w:pPr>
      <w:jc w:val="center"/>
    </w:pPr>
    <w:rPr>
      <w:b/>
      <w:bCs/>
    </w:rPr>
  </w:style>
  <w:style w:type="paragraph" w:customStyle="1" w:styleId="176">
    <w:name w:val="Table Contents"/>
    <w:basedOn w:val="1"/>
    <w:qFormat/>
    <w:uiPriority w:val="0"/>
    <w:pPr>
      <w:suppressLineNumbers/>
      <w:suppressAutoHyphens/>
      <w:spacing w:line="360" w:lineRule="auto"/>
      <w:ind w:firstLine="420"/>
    </w:pPr>
    <w:rPr>
      <w:kern w:val="1"/>
      <w:sz w:val="28"/>
      <w:szCs w:val="28"/>
      <w:lang w:eastAsia="ar-SA"/>
    </w:rPr>
  </w:style>
  <w:style w:type="paragraph" w:customStyle="1" w:styleId="177">
    <w:name w:val="blockquote"/>
    <w:basedOn w:val="1"/>
    <w:qFormat/>
    <w:uiPriority w:val="0"/>
    <w:pPr>
      <w:widowControl/>
      <w:spacing w:before="100" w:beforeAutospacing="1" w:after="100" w:afterAutospacing="1"/>
      <w:jc w:val="left"/>
    </w:pPr>
    <w:rPr>
      <w:rFonts w:ascii="宋体" w:hAnsi="宋体" w:cs="宋体"/>
      <w:kern w:val="0"/>
      <w:sz w:val="24"/>
    </w:rPr>
  </w:style>
  <w:style w:type="paragraph" w:customStyle="1" w:styleId="178">
    <w:name w:val="p0"/>
    <w:basedOn w:val="1"/>
    <w:qFormat/>
    <w:uiPriority w:val="0"/>
    <w:pPr>
      <w:widowControl/>
    </w:pPr>
    <w:rPr>
      <w:rFonts w:ascii="仿宋_GB2312" w:eastAsia="仿宋_GB2312" w:cs="宋体"/>
      <w:kern w:val="0"/>
      <w:sz w:val="32"/>
      <w:szCs w:val="21"/>
    </w:rPr>
  </w:style>
  <w:style w:type="paragraph" w:customStyle="1" w:styleId="179">
    <w:name w:val="xl4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customStyle="1" w:styleId="180">
    <w:name w:val="xl3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1">
    <w:name w:val="样式 标题 3 + (中文) 黑体 小四 非加粗 段前: 7.8 磅 段后: 0 磅 行距: 固定值 20 磅"/>
    <w:basedOn w:val="5"/>
    <w:qFormat/>
    <w:uiPriority w:val="0"/>
    <w:pPr>
      <w:widowControl w:val="0"/>
      <w:numPr>
        <w:ilvl w:val="0"/>
        <w:numId w:val="0"/>
      </w:numPr>
      <w:tabs>
        <w:tab w:val="clear" w:pos="720"/>
      </w:tabs>
      <w:spacing w:before="0" w:after="0" w:line="400" w:lineRule="exact"/>
      <w:jc w:val="both"/>
    </w:pPr>
    <w:rPr>
      <w:rFonts w:eastAsia="黑体" w:cs="宋体"/>
      <w:b w:val="0"/>
      <w:kern w:val="2"/>
      <w:sz w:val="24"/>
    </w:rPr>
  </w:style>
  <w:style w:type="paragraph" w:customStyle="1" w:styleId="18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183">
    <w:name w:val="默认段落字体 Para Char Char Char Char Char Char Char Char Char1 Char Char Char Char Char Char Char"/>
    <w:basedOn w:val="14"/>
    <w:qFormat/>
    <w:uiPriority w:val="0"/>
    <w:rPr>
      <w:rFonts w:ascii="Tahoma" w:hAnsi="Tahoma" w:cs="Tahoma"/>
      <w:sz w:val="24"/>
    </w:rPr>
  </w:style>
  <w:style w:type="paragraph" w:customStyle="1" w:styleId="184">
    <w:name w:val="Char Char Char Char Char Char"/>
    <w:basedOn w:val="1"/>
    <w:qFormat/>
    <w:uiPriority w:val="0"/>
    <w:rPr>
      <w:rFonts w:ascii="Tahoma" w:hAnsi="Tahoma"/>
      <w:sz w:val="24"/>
      <w:szCs w:val="20"/>
    </w:rPr>
  </w:style>
  <w:style w:type="paragraph" w:customStyle="1" w:styleId="185">
    <w:name w:val="Char Char Char Char Char"/>
    <w:basedOn w:val="1"/>
    <w:qFormat/>
    <w:uiPriority w:val="0"/>
    <w:rPr>
      <w:rFonts w:ascii="Tahoma" w:hAnsi="Tahoma" w:eastAsia="仿宋_GB2312"/>
      <w:sz w:val="24"/>
      <w:szCs w:val="20"/>
    </w:rPr>
  </w:style>
  <w:style w:type="paragraph" w:customStyle="1" w:styleId="18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87">
    <w:name w:val="Char Char"/>
    <w:basedOn w:val="1"/>
    <w:qFormat/>
    <w:uiPriority w:val="0"/>
  </w:style>
  <w:style w:type="paragraph" w:customStyle="1" w:styleId="188">
    <w:name w:val="表格文字"/>
    <w:basedOn w:val="1"/>
    <w:qFormat/>
    <w:uiPriority w:val="0"/>
    <w:pPr>
      <w:adjustRightInd w:val="0"/>
      <w:spacing w:line="420" w:lineRule="atLeast"/>
      <w:jc w:val="left"/>
      <w:textAlignment w:val="baseline"/>
    </w:pPr>
    <w:rPr>
      <w:kern w:val="0"/>
      <w:szCs w:val="20"/>
    </w:rPr>
  </w:style>
  <w:style w:type="paragraph" w:customStyle="1" w:styleId="189">
    <w:name w:val="范本目录"/>
    <w:basedOn w:val="1"/>
    <w:qFormat/>
    <w:uiPriority w:val="0"/>
    <w:pPr>
      <w:adjustRightInd w:val="0"/>
      <w:snapToGrid w:val="0"/>
      <w:spacing w:before="48" w:beforeLines="20" w:after="48" w:afterLines="20" w:line="540" w:lineRule="exact"/>
      <w:jc w:val="center"/>
    </w:pPr>
    <w:rPr>
      <w:rFonts w:ascii="仿宋_GB2312" w:hAnsi="宋体" w:eastAsia="仿宋_GB2312"/>
      <w:b/>
      <w:bCs/>
      <w:sz w:val="36"/>
      <w:szCs w:val="32"/>
    </w:rPr>
  </w:style>
  <w:style w:type="paragraph" w:customStyle="1" w:styleId="190">
    <w:name w:val="Char Char Char Char"/>
    <w:basedOn w:val="1"/>
    <w:qFormat/>
    <w:uiPriority w:val="0"/>
    <w:pPr>
      <w:widowControl/>
      <w:spacing w:after="160" w:line="240" w:lineRule="exact"/>
      <w:jc w:val="left"/>
    </w:pPr>
    <w:rPr>
      <w:rFonts w:ascii="Tahoma" w:hAnsi="Tahoma" w:eastAsia="Times New Roman"/>
      <w:kern w:val="0"/>
      <w:sz w:val="20"/>
      <w:szCs w:val="20"/>
      <w:lang w:eastAsia="en-US"/>
    </w:rPr>
  </w:style>
  <w:style w:type="paragraph" w:customStyle="1" w:styleId="191">
    <w:name w:val="_Style 5"/>
    <w:basedOn w:val="1"/>
    <w:qFormat/>
    <w:uiPriority w:val="0"/>
    <w:pPr>
      <w:snapToGrid w:val="0"/>
      <w:spacing w:line="360" w:lineRule="auto"/>
      <w:ind w:firstLine="200" w:firstLineChars="200"/>
    </w:pPr>
    <w:rPr>
      <w:szCs w:val="20"/>
      <w:lang w:val="de-DE"/>
    </w:rPr>
  </w:style>
  <w:style w:type="paragraph" w:customStyle="1" w:styleId="192">
    <w:name w:val="Char Char Char Char Char Char Char Char Char Char Char Char Char Char Char Char Char Char Char Char Char Char Char Char Char"/>
    <w:basedOn w:val="1"/>
    <w:qFormat/>
    <w:uiPriority w:val="0"/>
    <w:pPr>
      <w:snapToGrid w:val="0"/>
      <w:spacing w:line="360" w:lineRule="auto"/>
      <w:ind w:firstLine="200" w:firstLineChars="200"/>
    </w:pPr>
  </w:style>
  <w:style w:type="paragraph" w:customStyle="1" w:styleId="193">
    <w:name w:val="Char1"/>
    <w:basedOn w:val="1"/>
    <w:qFormat/>
    <w:uiPriority w:val="0"/>
    <w:rPr>
      <w:rFonts w:ascii="Tahoma" w:hAnsi="Tahoma"/>
      <w:sz w:val="24"/>
      <w:szCs w:val="20"/>
    </w:rPr>
  </w:style>
  <w:style w:type="paragraph" w:customStyle="1" w:styleId="194">
    <w:name w:val="xl3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b/>
      <w:bCs/>
      <w:kern w:val="0"/>
      <w:sz w:val="24"/>
    </w:rPr>
  </w:style>
  <w:style w:type="paragraph" w:customStyle="1" w:styleId="195">
    <w:name w:val="font6"/>
    <w:basedOn w:val="1"/>
    <w:qFormat/>
    <w:uiPriority w:val="0"/>
    <w:pPr>
      <w:widowControl/>
      <w:spacing w:before="100" w:beforeAutospacing="1" w:after="100" w:afterAutospacing="1"/>
      <w:jc w:val="left"/>
    </w:pPr>
    <w:rPr>
      <w:rFonts w:hint="eastAsia" w:ascii="仿宋_GB2312" w:hAnsi="宋体" w:eastAsia="仿宋_GB2312"/>
      <w:kern w:val="0"/>
      <w:sz w:val="24"/>
    </w:rPr>
  </w:style>
  <w:style w:type="paragraph" w:customStyle="1" w:styleId="19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97">
    <w:name w:val="正文2"/>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Default Paragraph Char Char Char Char"/>
    <w:basedOn w:val="1"/>
    <w:next w:val="1"/>
    <w:qFormat/>
    <w:uiPriority w:val="0"/>
    <w:pPr>
      <w:widowControl/>
      <w:spacing w:line="360" w:lineRule="auto"/>
      <w:jc w:val="left"/>
    </w:pPr>
    <w:rPr>
      <w:kern w:val="0"/>
      <w:szCs w:val="20"/>
      <w:lang w:eastAsia="en-US"/>
    </w:rPr>
  </w:style>
  <w:style w:type="paragraph" w:customStyle="1" w:styleId="199">
    <w:name w:val="Char Char1 Char Char Char"/>
    <w:basedOn w:val="1"/>
    <w:qFormat/>
    <w:uiPriority w:val="0"/>
    <w:rPr>
      <w:kern w:val="0"/>
      <w:sz w:val="20"/>
      <w:szCs w:val="20"/>
    </w:rPr>
  </w:style>
  <w:style w:type="paragraph" w:customStyle="1" w:styleId="200">
    <w:name w:val="xl4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customStyle="1" w:styleId="201">
    <w:name w:val="xl44"/>
    <w:basedOn w:val="1"/>
    <w:qFormat/>
    <w:uiPriority w:val="0"/>
    <w:pPr>
      <w:widowControl/>
      <w:spacing w:before="100" w:beforeAutospacing="1" w:after="100" w:afterAutospacing="1"/>
      <w:jc w:val="center"/>
      <w:textAlignment w:val="center"/>
    </w:pPr>
    <w:rPr>
      <w:rFonts w:ascii="宋体" w:hAnsi="宋体" w:eastAsia="仿宋_GB2312"/>
      <w:b/>
      <w:bCs/>
      <w:kern w:val="0"/>
      <w:sz w:val="32"/>
      <w:szCs w:val="32"/>
    </w:rPr>
  </w:style>
  <w:style w:type="paragraph" w:customStyle="1" w:styleId="202">
    <w:name w:val="xl45"/>
    <w:basedOn w:val="1"/>
    <w:qFormat/>
    <w:uiPriority w:val="0"/>
    <w:pPr>
      <w:widowControl/>
      <w:spacing w:before="100" w:beforeAutospacing="1" w:after="100" w:afterAutospacing="1"/>
      <w:jc w:val="left"/>
      <w:textAlignment w:val="top"/>
    </w:pPr>
    <w:rPr>
      <w:rFonts w:ascii="宋体" w:hAnsi="宋体" w:eastAsia="仿宋_GB2312"/>
      <w:kern w:val="0"/>
      <w:sz w:val="24"/>
      <w:szCs w:val="32"/>
    </w:rPr>
  </w:style>
  <w:style w:type="paragraph" w:customStyle="1" w:styleId="203">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204">
    <w:name w:val="1"/>
    <w:basedOn w:val="1"/>
    <w:next w:val="1"/>
    <w:qFormat/>
    <w:uiPriority w:val="0"/>
    <w:pPr>
      <w:adjustRightInd w:val="0"/>
      <w:snapToGrid w:val="0"/>
    </w:pPr>
    <w:rPr>
      <w:rFonts w:ascii="仿宋_GB2312" w:hAnsi="宋体" w:eastAsia="仿宋_GB2312"/>
      <w:color w:val="000000"/>
      <w:sz w:val="24"/>
    </w:rPr>
  </w:style>
  <w:style w:type="paragraph" w:customStyle="1" w:styleId="205">
    <w:name w:val="xl39"/>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6">
    <w:name w:val="普通 (Web)"/>
    <w:basedOn w:val="1"/>
    <w:uiPriority w:val="0"/>
    <w:pPr>
      <w:widowControl/>
      <w:spacing w:before="100" w:beforeAutospacing="1" w:after="100" w:afterAutospacing="1"/>
      <w:jc w:val="left"/>
    </w:pPr>
    <w:rPr>
      <w:rFonts w:ascii="宋体" w:hAnsi="宋体" w:eastAsia="仿宋_GB2312"/>
      <w:kern w:val="0"/>
      <w:sz w:val="24"/>
      <w:szCs w:val="32"/>
    </w:rPr>
  </w:style>
  <w:style w:type="paragraph" w:customStyle="1" w:styleId="207">
    <w:name w:val="xl35"/>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8">
    <w:name w:val="表格"/>
    <w:basedOn w:val="1"/>
    <w:uiPriority w:val="0"/>
    <w:pPr>
      <w:jc w:val="center"/>
      <w:textAlignment w:val="center"/>
    </w:pPr>
    <w:rPr>
      <w:rFonts w:ascii="华文细黑" w:hAnsi="华文细黑"/>
      <w:kern w:val="0"/>
      <w:szCs w:val="20"/>
    </w:rPr>
  </w:style>
  <w:style w:type="paragraph" w:customStyle="1" w:styleId="209">
    <w:name w:val="2"/>
    <w:basedOn w:val="1"/>
    <w:uiPriority w:val="0"/>
    <w:rPr>
      <w:rFonts w:ascii="Tahoma" w:hAnsi="Tahoma"/>
      <w:sz w:val="24"/>
      <w:szCs w:val="20"/>
    </w:rPr>
  </w:style>
  <w:style w:type="paragraph" w:customStyle="1" w:styleId="210">
    <w:name w:val="xl40"/>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4"/>
    </w:rPr>
  </w:style>
  <w:style w:type="paragraph" w:customStyle="1" w:styleId="211">
    <w:name w:val="xl30"/>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12">
    <w:name w:val="Char Char Char Char Char Char Char"/>
    <w:basedOn w:val="1"/>
    <w:uiPriority w:val="0"/>
    <w:rPr>
      <w:szCs w:val="20"/>
    </w:rPr>
  </w:style>
  <w:style w:type="paragraph" w:customStyle="1" w:styleId="213">
    <w:name w:val="样式1"/>
    <w:basedOn w:val="1"/>
    <w:uiPriority w:val="0"/>
    <w:pPr>
      <w:spacing w:before="120" w:after="120" w:line="300" w:lineRule="auto"/>
    </w:pPr>
    <w:rPr>
      <w:rFonts w:ascii="宋体" w:hAnsi="宋体"/>
      <w:b/>
      <w:sz w:val="24"/>
      <w:szCs w:val="20"/>
    </w:rPr>
  </w:style>
  <w:style w:type="paragraph" w:customStyle="1" w:styleId="214">
    <w:name w:val="xl29"/>
    <w:basedOn w:val="1"/>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215">
    <w:name w:val="xl31"/>
    <w:basedOn w:val="1"/>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16">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217">
    <w:name w:val="Char"/>
    <w:basedOn w:val="1"/>
    <w:next w:val="1"/>
    <w:uiPriority w:val="0"/>
    <w:pPr>
      <w:widowControl/>
      <w:spacing w:line="360" w:lineRule="auto"/>
      <w:jc w:val="left"/>
    </w:pPr>
    <w:rPr>
      <w:rFonts w:ascii="仿宋_GB2312" w:eastAsia="仿宋_GB2312"/>
      <w:kern w:val="0"/>
      <w:sz w:val="32"/>
      <w:szCs w:val="20"/>
      <w:lang w:eastAsia="en-US"/>
    </w:rPr>
  </w:style>
  <w:style w:type="paragraph" w:customStyle="1" w:styleId="218">
    <w:name w:val="xl37"/>
    <w:basedOn w:val="1"/>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kern w:val="0"/>
      <w:sz w:val="24"/>
    </w:rPr>
  </w:style>
  <w:style w:type="paragraph" w:customStyle="1" w:styleId="219">
    <w:name w:val="三级标题"/>
    <w:basedOn w:val="5"/>
    <w:qFormat/>
    <w:uiPriority w:val="0"/>
    <w:pPr>
      <w:widowControl w:val="0"/>
      <w:numPr>
        <w:ilvl w:val="0"/>
        <w:numId w:val="0"/>
      </w:numPr>
      <w:tabs>
        <w:tab w:val="clear" w:pos="720"/>
      </w:tabs>
      <w:spacing w:line="413" w:lineRule="auto"/>
      <w:ind w:firstLine="600" w:firstLineChars="200"/>
      <w:jc w:val="both"/>
    </w:pPr>
    <w:rPr>
      <w:rFonts w:eastAsia="仿宋_GB2312"/>
      <w:b w:val="0"/>
      <w:color w:val="000000"/>
      <w:sz w:val="30"/>
      <w:szCs w:val="32"/>
    </w:rPr>
  </w:style>
  <w:style w:type="paragraph" w:customStyle="1" w:styleId="220">
    <w:name w:val="xl34"/>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b/>
      <w:bCs/>
      <w:i/>
      <w:iCs/>
      <w:kern w:val="0"/>
      <w:sz w:val="24"/>
    </w:rPr>
  </w:style>
  <w:style w:type="paragraph" w:customStyle="1" w:styleId="221">
    <w:name w:val="目录文字"/>
    <w:basedOn w:val="1"/>
    <w:uiPriority w:val="0"/>
    <w:pPr>
      <w:widowControl/>
      <w:spacing w:line="480" w:lineRule="auto"/>
      <w:jc w:val="left"/>
    </w:pPr>
    <w:rPr>
      <w:rFonts w:ascii="宋体" w:hAnsi="宋体"/>
      <w:kern w:val="0"/>
      <w:sz w:val="24"/>
      <w:szCs w:val="20"/>
    </w:rPr>
  </w:style>
  <w:style w:type="paragraph" w:customStyle="1" w:styleId="222">
    <w:name w:val="普通(网站)1"/>
    <w:basedOn w:val="1"/>
    <w:uiPriority w:val="0"/>
    <w:pPr>
      <w:widowControl/>
      <w:spacing w:before="100" w:beforeAutospacing="1" w:after="100" w:afterAutospacing="1"/>
      <w:jc w:val="left"/>
    </w:pPr>
    <w:rPr>
      <w:rFonts w:ascii="宋体"/>
      <w:kern w:val="0"/>
      <w:sz w:val="24"/>
    </w:rPr>
  </w:style>
  <w:style w:type="paragraph" w:customStyle="1" w:styleId="223">
    <w:name w:val="默认段落字体 Para Char Char Char Char Char Char Char"/>
    <w:basedOn w:val="1"/>
    <w:uiPriority w:val="0"/>
  </w:style>
  <w:style w:type="paragraph" w:styleId="22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5">
    <w:name w:val="xl2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i/>
      <w:iCs/>
      <w:kern w:val="0"/>
      <w:sz w:val="24"/>
    </w:rPr>
  </w:style>
  <w:style w:type="paragraph" w:customStyle="1" w:styleId="226">
    <w:name w:val="样式 标题 2 + Times New Roman 四号 非加粗 段前: 5 磅 段后: 0 磅 行距: 固定值 20..."/>
    <w:basedOn w:val="3"/>
    <w:uiPriority w:val="0"/>
    <w:pPr>
      <w:widowControl w:val="0"/>
      <w:spacing w:before="100" w:after="0" w:line="400" w:lineRule="exact"/>
      <w:jc w:val="both"/>
    </w:pPr>
    <w:rPr>
      <w:rFonts w:ascii="Times New Roman" w:hAnsi="Times New Roman" w:cs="宋体"/>
      <w:b w:val="0"/>
      <w:kern w:val="2"/>
      <w:sz w:val="28"/>
    </w:rPr>
  </w:style>
  <w:style w:type="paragraph" w:customStyle="1" w:styleId="227">
    <w:name w:val="xl191"/>
    <w:basedOn w:val="1"/>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18"/>
      <w:szCs w:val="18"/>
    </w:rPr>
  </w:style>
  <w:style w:type="paragraph" w:customStyle="1" w:styleId="228">
    <w:name w:val="xl38"/>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229">
    <w:name w:val="缩进 Char Char Char Char"/>
    <w:basedOn w:val="4"/>
    <w:uiPriority w:val="0"/>
    <w:pPr>
      <w:spacing w:before="156" w:beforeLines="50" w:after="156" w:afterLines="50" w:line="360" w:lineRule="auto"/>
      <w:ind w:firstLine="480"/>
    </w:pPr>
    <w:rPr>
      <w:rFonts w:ascii="黑体" w:hAnsi="黑体"/>
      <w:kern w:val="0"/>
      <w:sz w:val="24"/>
    </w:rPr>
  </w:style>
  <w:style w:type="paragraph" w:customStyle="1" w:styleId="230">
    <w:name w:val="font8"/>
    <w:basedOn w:val="1"/>
    <w:uiPriority w:val="0"/>
    <w:pPr>
      <w:widowControl/>
      <w:spacing w:before="100" w:beforeAutospacing="1" w:after="100" w:afterAutospacing="1"/>
      <w:jc w:val="left"/>
    </w:pPr>
    <w:rPr>
      <w:b/>
      <w:bCs/>
      <w:i/>
      <w:iCs/>
      <w:kern w:val="0"/>
      <w:sz w:val="24"/>
    </w:rPr>
  </w:style>
  <w:style w:type="paragraph" w:customStyle="1" w:styleId="231">
    <w:name w:val="font11"/>
    <w:basedOn w:val="1"/>
    <w:uiPriority w:val="0"/>
    <w:pPr>
      <w:widowControl/>
      <w:spacing w:before="100" w:beforeAutospacing="1" w:after="100" w:afterAutospacing="1"/>
      <w:jc w:val="left"/>
    </w:pPr>
    <w:rPr>
      <w:kern w:val="0"/>
      <w:sz w:val="24"/>
    </w:rPr>
  </w:style>
  <w:style w:type="paragraph" w:customStyle="1" w:styleId="232">
    <w:name w:val="xl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styleId="233">
    <w:name w:val="List Paragraph"/>
    <w:basedOn w:val="1"/>
    <w:qFormat/>
    <w:uiPriority w:val="34"/>
    <w:pPr>
      <w:ind w:firstLine="420" w:firstLineChars="200"/>
    </w:pPr>
    <w:rPr>
      <w:rFonts w:ascii="Calibri" w:hAnsi="Calibri"/>
      <w:szCs w:val="22"/>
    </w:rPr>
  </w:style>
  <w:style w:type="paragraph" w:customStyle="1" w:styleId="234">
    <w:name w:val="xl42"/>
    <w:basedOn w:val="1"/>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kern w:val="0"/>
      <w:sz w:val="24"/>
    </w:rPr>
  </w:style>
  <w:style w:type="paragraph" w:customStyle="1" w:styleId="235">
    <w:name w:val="目录"/>
    <w:basedOn w:val="1"/>
    <w:uiPriority w:val="0"/>
    <w:pPr>
      <w:widowControl/>
      <w:jc w:val="center"/>
    </w:pPr>
    <w:rPr>
      <w:rFonts w:ascii="宋体"/>
      <w:b/>
      <w:kern w:val="0"/>
      <w:sz w:val="36"/>
      <w:szCs w:val="20"/>
    </w:rPr>
  </w:style>
  <w:style w:type="paragraph" w:customStyle="1" w:styleId="236">
    <w:name w:val="Char2"/>
    <w:basedOn w:val="1"/>
    <w:semiHidden/>
    <w:uiPriority w:val="0"/>
    <w:pPr>
      <w:spacing w:line="360" w:lineRule="auto"/>
    </w:pPr>
    <w:rPr>
      <w:rFonts w:ascii="Tahoma" w:hAnsi="Tahoma"/>
      <w:sz w:val="24"/>
      <w:szCs w:val="20"/>
    </w:rPr>
  </w:style>
  <w:style w:type="paragraph" w:customStyle="1" w:styleId="237">
    <w:name w:val="Char1 Char Char Char Char Char Char1"/>
    <w:basedOn w:val="1"/>
    <w:uiPriority w:val="0"/>
    <w:rPr>
      <w:rFonts w:ascii="Tahoma" w:hAnsi="Tahoma"/>
      <w:sz w:val="24"/>
      <w:szCs w:val="20"/>
    </w:rPr>
  </w:style>
  <w:style w:type="paragraph" w:customStyle="1" w:styleId="23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239">
    <w:name w:val="_Style 1"/>
    <w:basedOn w:val="1"/>
    <w:qFormat/>
    <w:uiPriority w:val="34"/>
    <w:pPr>
      <w:suppressAutoHyphens/>
      <w:ind w:firstLine="420" w:firstLineChars="200"/>
    </w:pPr>
    <w:rPr>
      <w:kern w:val="0"/>
      <w:sz w:val="24"/>
    </w:rPr>
  </w:style>
  <w:style w:type="paragraph" w:customStyle="1" w:styleId="240">
    <w:name w:val="xl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41">
    <w:name w:val="font7"/>
    <w:basedOn w:val="1"/>
    <w:uiPriority w:val="0"/>
    <w:pPr>
      <w:widowControl/>
      <w:spacing w:before="100" w:beforeAutospacing="1" w:after="100" w:afterAutospacing="1"/>
      <w:jc w:val="left"/>
    </w:pPr>
    <w:rPr>
      <w:rFonts w:hint="eastAsia" w:ascii="黑体" w:hAnsi="宋体" w:eastAsia="黑体"/>
      <w:kern w:val="0"/>
      <w:sz w:val="24"/>
    </w:rPr>
  </w:style>
  <w:style w:type="paragraph" w:customStyle="1" w:styleId="242">
    <w:name w:val="样式 标题 1 + 黑体 三号 非加粗 居中 段前: 6 磅 段后: 6 磅 行距: 固定值 20 磅"/>
    <w:basedOn w:val="2"/>
    <w:uiPriority w:val="0"/>
    <w:pPr>
      <w:keepLines/>
      <w:widowControl w:val="0"/>
      <w:numPr>
        <w:numId w:val="0"/>
      </w:numPr>
      <w:spacing w:before="120" w:after="120" w:line="400" w:lineRule="exact"/>
    </w:pPr>
    <w:rPr>
      <w:rFonts w:cs="宋体"/>
      <w:kern w:val="44"/>
      <w:sz w:val="32"/>
    </w:rPr>
  </w:style>
  <w:style w:type="paragraph" w:customStyle="1" w:styleId="243">
    <w:name w:val="font0"/>
    <w:basedOn w:val="1"/>
    <w:uiPriority w:val="0"/>
    <w:pPr>
      <w:widowControl/>
      <w:spacing w:before="100" w:beforeAutospacing="1" w:after="100" w:afterAutospacing="1"/>
      <w:jc w:val="left"/>
    </w:pPr>
    <w:rPr>
      <w:rFonts w:hint="eastAsia" w:ascii="宋体" w:hAnsi="宋体"/>
      <w:kern w:val="0"/>
      <w:sz w:val="24"/>
    </w:rPr>
  </w:style>
  <w:style w:type="paragraph" w:customStyle="1" w:styleId="244">
    <w:name w:val="Contents 10"/>
    <w:basedOn w:val="245"/>
    <w:uiPriority w:val="0"/>
    <w:pPr>
      <w:tabs>
        <w:tab w:val="right" w:leader="dot" w:pos="9637"/>
      </w:tabs>
      <w:ind w:left="2547"/>
    </w:pPr>
  </w:style>
  <w:style w:type="paragraph" w:customStyle="1" w:styleId="245">
    <w:name w:val="Index"/>
    <w:basedOn w:val="1"/>
    <w:uiPriority w:val="0"/>
    <w:pPr>
      <w:suppressLineNumbers/>
      <w:suppressAutoHyphens/>
      <w:spacing w:line="360" w:lineRule="auto"/>
      <w:ind w:firstLine="420"/>
    </w:pPr>
    <w:rPr>
      <w:kern w:val="1"/>
      <w:sz w:val="28"/>
      <w:szCs w:val="28"/>
      <w:lang w:eastAsia="ar-SA"/>
    </w:rPr>
  </w:style>
  <w:style w:type="paragraph" w:customStyle="1" w:styleId="246">
    <w:name w:val="Heading"/>
    <w:basedOn w:val="1"/>
    <w:next w:val="18"/>
    <w:uiPriority w:val="0"/>
    <w:pPr>
      <w:keepNext/>
      <w:suppressAutoHyphens/>
      <w:spacing w:before="240" w:after="120" w:line="360" w:lineRule="auto"/>
      <w:ind w:firstLine="420"/>
    </w:pPr>
    <w:rPr>
      <w:rFonts w:ascii="文鼎ＰＬ简中楷" w:hAnsi="文鼎ＰＬ简中楷" w:eastAsia="文鼎ＰＬ简中楷" w:cs="文鼎ＰＬ简中楷"/>
      <w:kern w:val="1"/>
      <w:sz w:val="28"/>
      <w:szCs w:val="28"/>
      <w:lang w:eastAsia="ar-SA"/>
    </w:rPr>
  </w:style>
  <w:style w:type="paragraph" w:customStyle="1" w:styleId="247">
    <w:name w:val="默认段落字体 Para Char Char Char Char Char Char Char Char Char Char Char Char Char Char Char1 Char"/>
    <w:basedOn w:val="14"/>
    <w:uiPriority w:val="0"/>
  </w:style>
  <w:style w:type="paragraph" w:customStyle="1" w:styleId="248">
    <w:name w:val="Char3"/>
    <w:basedOn w:val="1"/>
    <w:uiPriority w:val="0"/>
    <w:pPr>
      <w:spacing w:line="360" w:lineRule="auto"/>
    </w:pPr>
    <w:rPr>
      <w:rFonts w:ascii="Tahoma" w:hAnsi="Tahoma"/>
      <w:sz w:val="24"/>
      <w:szCs w:val="20"/>
    </w:rPr>
  </w:style>
  <w:style w:type="paragraph" w:customStyle="1" w:styleId="249">
    <w:name w:val="Char Char2 Char"/>
    <w:basedOn w:val="1"/>
    <w:uiPriority w:val="0"/>
    <w:rPr>
      <w:rFonts w:ascii="Tahoma" w:hAnsi="Tahoma"/>
      <w:sz w:val="24"/>
      <w:szCs w:val="20"/>
    </w:rPr>
  </w:style>
  <w:style w:type="paragraph" w:customStyle="1" w:styleId="250">
    <w:name w:val="Char Char Char Char1"/>
    <w:basedOn w:val="1"/>
    <w:uiPriority w:val="0"/>
    <w:pPr>
      <w:snapToGrid w:val="0"/>
      <w:spacing w:line="360" w:lineRule="auto"/>
      <w:ind w:firstLine="200" w:firstLineChars="200"/>
    </w:pPr>
    <w:rPr>
      <w:rFonts w:ascii="仿宋_GB2312" w:eastAsia="仿宋_GB2312"/>
      <w:sz w:val="24"/>
      <w:szCs w:val="32"/>
    </w:rPr>
  </w:style>
  <w:style w:type="paragraph" w:customStyle="1" w:styleId="251">
    <w:name w:val="Char Char2 Char1"/>
    <w:basedOn w:val="1"/>
    <w:uiPriority w:val="0"/>
    <w:rPr>
      <w:rFonts w:ascii="Tahoma" w:hAnsi="Tahoma"/>
      <w:sz w:val="24"/>
      <w:szCs w:val="20"/>
    </w:rPr>
  </w:style>
  <w:style w:type="paragraph" w:customStyle="1" w:styleId="252">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53">
    <w:name w:val="font10"/>
    <w:basedOn w:val="1"/>
    <w:uiPriority w:val="0"/>
    <w:pPr>
      <w:widowControl/>
      <w:spacing w:before="100" w:beforeAutospacing="1" w:after="100" w:afterAutospacing="1"/>
      <w:jc w:val="left"/>
    </w:pPr>
    <w:rPr>
      <w:b/>
      <w:bCs/>
      <w:kern w:val="0"/>
      <w:sz w:val="24"/>
    </w:rPr>
  </w:style>
  <w:style w:type="paragraph" w:customStyle="1" w:styleId="254">
    <w:name w:val="题注1"/>
    <w:basedOn w:val="1"/>
    <w:uiPriority w:val="0"/>
    <w:pPr>
      <w:suppressLineNumbers/>
      <w:suppressAutoHyphens/>
      <w:spacing w:before="120" w:after="120" w:line="360" w:lineRule="auto"/>
      <w:ind w:firstLine="420"/>
    </w:pPr>
    <w:rPr>
      <w:i/>
      <w:iCs/>
      <w:kern w:val="1"/>
      <w:sz w:val="24"/>
      <w:szCs w:val="28"/>
      <w:lang w:eastAsia="ar-SA"/>
    </w:rPr>
  </w:style>
  <w:style w:type="paragraph" w:customStyle="1" w:styleId="255">
    <w:name w:val="默认段落字体 Para Char Char Char Char Char Char Char Char Char Char"/>
    <w:basedOn w:val="1"/>
    <w:uiPriority w:val="0"/>
    <w:pPr>
      <w:widowControl/>
    </w:pPr>
    <w:rPr>
      <w:rFonts w:ascii="Tahoma" w:hAnsi="Tahoma"/>
      <w:sz w:val="24"/>
      <w:szCs w:val="21"/>
    </w:rPr>
  </w:style>
  <w:style w:type="paragraph" w:customStyle="1" w:styleId="256">
    <w:name w:val="空半行"/>
    <w:basedOn w:val="1"/>
    <w:uiPriority w:val="0"/>
    <w:pPr>
      <w:adjustRightInd w:val="0"/>
      <w:spacing w:line="120" w:lineRule="exact"/>
      <w:textAlignment w:val="baseline"/>
    </w:pPr>
    <w:rPr>
      <w:rFonts w:eastAsia="仿宋_GB2312"/>
      <w:color w:val="FFFFFF"/>
      <w:kern w:val="0"/>
      <w:sz w:val="30"/>
      <w:szCs w:val="20"/>
    </w:rPr>
  </w:style>
  <w:style w:type="paragraph" w:customStyle="1" w:styleId="257">
    <w:name w:val="二级标题"/>
    <w:basedOn w:val="3"/>
    <w:qFormat/>
    <w:uiPriority w:val="0"/>
    <w:pPr>
      <w:widowControl w:val="0"/>
      <w:spacing w:before="120" w:after="120" w:line="413" w:lineRule="auto"/>
      <w:jc w:val="both"/>
    </w:pPr>
    <w:rPr>
      <w:rFonts w:ascii="黑体" w:hAnsi="黑体"/>
      <w:b w:val="0"/>
      <w:bCs/>
      <w:kern w:val="2"/>
      <w:sz w:val="32"/>
      <w:szCs w:val="32"/>
    </w:rPr>
  </w:style>
  <w:style w:type="paragraph" w:customStyle="1" w:styleId="258">
    <w:name w:val="Char11"/>
    <w:basedOn w:val="1"/>
    <w:uiPriority w:val="0"/>
    <w:rPr>
      <w:rFonts w:ascii="Tahoma" w:hAnsi="Tahoma"/>
      <w:sz w:val="24"/>
      <w:szCs w:val="20"/>
    </w:rPr>
  </w:style>
  <w:style w:type="paragraph" w:customStyle="1" w:styleId="259">
    <w:name w:val="Char Char1 Char Char Char Char Char Char"/>
    <w:basedOn w:val="14"/>
    <w:uiPriority w:val="0"/>
    <w:pPr>
      <w:adjustRightInd w:val="0"/>
      <w:spacing w:line="436" w:lineRule="exact"/>
      <w:ind w:left="357"/>
      <w:jc w:val="left"/>
      <w:textAlignment w:val="baseline"/>
      <w:outlineLvl w:val="3"/>
    </w:pPr>
  </w:style>
  <w:style w:type="paragraph" w:customStyle="1" w:styleId="260">
    <w:name w:val="文一"/>
    <w:basedOn w:val="1"/>
    <w:uiPriority w:val="0"/>
    <w:pPr>
      <w:topLinePunct/>
      <w:adjustRightInd w:val="0"/>
      <w:snapToGrid w:val="0"/>
      <w:spacing w:line="360" w:lineRule="auto"/>
      <w:ind w:firstLine="200" w:firstLineChars="200"/>
    </w:pPr>
    <w:rPr>
      <w:snapToGrid w:val="0"/>
      <w:spacing w:val="4"/>
      <w:kern w:val="0"/>
      <w:sz w:val="24"/>
      <w:szCs w:val="20"/>
    </w:rPr>
  </w:style>
  <w:style w:type="paragraph" w:customStyle="1" w:styleId="261">
    <w:name w:val="Char Char Char Char Char Char Char1"/>
    <w:basedOn w:val="1"/>
    <w:uiPriority w:val="0"/>
    <w:rPr>
      <w:rFonts w:ascii="Tahoma" w:hAnsi="Tahoma"/>
      <w:sz w:val="24"/>
      <w:szCs w:val="20"/>
    </w:rPr>
  </w:style>
  <w:style w:type="paragraph" w:customStyle="1" w:styleId="262">
    <w:name w:val="Char Char1"/>
    <w:basedOn w:val="1"/>
    <w:uiPriority w:val="0"/>
    <w:rPr>
      <w:rFonts w:ascii="Tahoma" w:hAnsi="Tahoma"/>
      <w:sz w:val="24"/>
      <w:szCs w:val="20"/>
    </w:rPr>
  </w:style>
  <w:style w:type="table" w:customStyle="1" w:styleId="263">
    <w:name w:val="网格型1"/>
    <w:basedOn w:val="48"/>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
    <w:name w:val="网格型2"/>
    <w:basedOn w:val="48"/>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3722</Words>
  <Characters>21217</Characters>
  <Lines>176</Lines>
  <Paragraphs>49</Paragraphs>
  <TotalTime>2</TotalTime>
  <ScaleCrop>false</ScaleCrop>
  <LinksUpToDate>false</LinksUpToDate>
  <CharactersWithSpaces>24890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2021-04-28T12:36:00Z</dcterms:created>
  <dc:creator>陈清华</dc:creator>
  <cp:lastModifiedBy>因_宁</cp:lastModifiedBy>
  <cp:lastPrinted>2021-05-10T01:15:00Z</cp:lastPrinted>
  <dcterms:modified xsi:type="dcterms:W3CDTF">2021-05-10T02:31:28Z</dcterms:modified>
  <dc:title>六安市烟草公司“感知徽映”展示中心装饰工程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66EE5B5B6C074E6A9C58FF184B916BD3</vt:lpwstr>
  </property>
</Properties>
</file>